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4F" w:rsidRPr="00DA2C4F" w:rsidRDefault="00DA2C4F" w:rsidP="00DA2C4F">
      <w:pPr>
        <w:jc w:val="both"/>
        <w:rPr>
          <w:rFonts w:ascii="Arial" w:hAnsi="Arial" w:cs="Arial"/>
          <w:b/>
          <w:color w:val="4F6228" w:themeColor="accent3" w:themeShade="80"/>
          <w:sz w:val="20"/>
          <w:szCs w:val="20"/>
        </w:rPr>
      </w:pPr>
      <w:r w:rsidRPr="00DA2C4F">
        <w:rPr>
          <w:rFonts w:ascii="Arial" w:hAnsi="Arial" w:cs="Arial"/>
          <w:b/>
          <w:color w:val="4F6228" w:themeColor="accent3" w:themeShade="80"/>
          <w:sz w:val="20"/>
          <w:szCs w:val="20"/>
        </w:rPr>
        <w:t>68</w:t>
      </w:r>
      <w:proofErr w:type="gramStart"/>
      <w:r w:rsidRPr="00DA2C4F">
        <w:rPr>
          <w:rFonts w:ascii="Arial" w:hAnsi="Arial" w:cs="Arial"/>
          <w:b/>
          <w:color w:val="4F6228" w:themeColor="accent3" w:themeShade="80"/>
          <w:sz w:val="20"/>
          <w:szCs w:val="20"/>
        </w:rPr>
        <w:t>.  Grievance</w:t>
      </w:r>
      <w:proofErr w:type="gramEnd"/>
      <w:r w:rsidRPr="00DA2C4F">
        <w:rPr>
          <w:rFonts w:ascii="Arial" w:hAnsi="Arial" w:cs="Arial"/>
          <w:b/>
          <w:color w:val="4F6228" w:themeColor="accent3" w:themeShade="80"/>
          <w:sz w:val="20"/>
          <w:szCs w:val="20"/>
        </w:rPr>
        <w:t xml:space="preserve"> and Disciplinary Procedure </w:t>
      </w:r>
    </w:p>
    <w:p w:rsidR="00DA2C4F" w:rsidRPr="00DA2C4F" w:rsidRDefault="00DA2C4F" w:rsidP="00DA2C4F">
      <w:pPr>
        <w:jc w:val="both"/>
        <w:rPr>
          <w:rFonts w:ascii="Arial" w:hAnsi="Arial" w:cs="Arial"/>
          <w:b/>
          <w:color w:val="4F6228" w:themeColor="accent3" w:themeShade="80"/>
          <w:sz w:val="20"/>
          <w:szCs w:val="20"/>
        </w:rPr>
      </w:pPr>
    </w:p>
    <w:p w:rsidR="00DA2C4F" w:rsidRPr="00DA2C4F" w:rsidRDefault="00DA2C4F" w:rsidP="00DA2C4F">
      <w:pPr>
        <w:jc w:val="both"/>
        <w:rPr>
          <w:rFonts w:ascii="Arial" w:hAnsi="Arial" w:cs="Arial"/>
          <w:b/>
          <w:color w:val="4F6228" w:themeColor="accent3" w:themeShade="80"/>
          <w:sz w:val="20"/>
          <w:szCs w:val="20"/>
        </w:rPr>
      </w:pPr>
      <w:r w:rsidRPr="00DA2C4F">
        <w:rPr>
          <w:rFonts w:ascii="Arial" w:hAnsi="Arial" w:cs="Arial"/>
          <w:b/>
          <w:color w:val="4F6228" w:themeColor="accent3" w:themeShade="80"/>
          <w:sz w:val="20"/>
          <w:szCs w:val="20"/>
        </w:rPr>
        <w:t>Disciplinary Procedure</w:t>
      </w:r>
    </w:p>
    <w:p w:rsidR="00DA2C4F" w:rsidRPr="00DA2C4F" w:rsidRDefault="00DA2C4F" w:rsidP="00DA2C4F">
      <w:pPr>
        <w:jc w:val="both"/>
        <w:rPr>
          <w:rFonts w:ascii="Arial" w:hAnsi="Arial" w:cs="Arial"/>
          <w:color w:val="4F6228" w:themeColor="accent3" w:themeShade="80"/>
          <w:sz w:val="20"/>
          <w:szCs w:val="20"/>
        </w:rPr>
      </w:pPr>
      <w:r w:rsidRPr="00DA2C4F">
        <w:rPr>
          <w:rFonts w:ascii="Arial" w:hAnsi="Arial" w:cs="Arial"/>
          <w:color w:val="4F6228" w:themeColor="accent3" w:themeShade="80"/>
          <w:sz w:val="20"/>
          <w:szCs w:val="20"/>
        </w:rPr>
        <w:t>Discipline is the process whereby the College manages conduct by its employees that it finds unacceptable.  It may range from an informal exchange between a manager and an employee, or it may be more formalized – depending on the nature and the seriousness of the behavior in question.</w:t>
      </w:r>
    </w:p>
    <w:p w:rsidR="00DA2C4F" w:rsidRPr="00DA2C4F" w:rsidRDefault="00DA2C4F" w:rsidP="00DA2C4F">
      <w:pPr>
        <w:jc w:val="both"/>
        <w:rPr>
          <w:rFonts w:ascii="Arial" w:hAnsi="Arial" w:cs="Arial"/>
          <w:color w:val="4F6228" w:themeColor="accent3" w:themeShade="80"/>
          <w:sz w:val="20"/>
          <w:szCs w:val="20"/>
        </w:rPr>
      </w:pPr>
    </w:p>
    <w:p w:rsidR="00DA2C4F" w:rsidRPr="00DA2C4F" w:rsidRDefault="00DA2C4F" w:rsidP="00DA2C4F">
      <w:pPr>
        <w:jc w:val="both"/>
        <w:rPr>
          <w:rFonts w:ascii="Arial" w:hAnsi="Arial" w:cs="Arial"/>
          <w:color w:val="4F6228" w:themeColor="accent3" w:themeShade="80"/>
          <w:sz w:val="20"/>
          <w:szCs w:val="20"/>
        </w:rPr>
      </w:pPr>
      <w:r w:rsidRPr="00DA2C4F">
        <w:rPr>
          <w:rFonts w:ascii="Arial" w:hAnsi="Arial" w:cs="Arial"/>
          <w:color w:val="4F6228" w:themeColor="accent3" w:themeShade="80"/>
          <w:sz w:val="20"/>
          <w:szCs w:val="20"/>
        </w:rPr>
        <w:t xml:space="preserve">The primary aim of the disciplinary process is to achieve fairness – both in the process and the result, and at the heart of this fairness </w:t>
      </w:r>
      <w:proofErr w:type="gramStart"/>
      <w:r w:rsidRPr="00DA2C4F">
        <w:rPr>
          <w:rFonts w:ascii="Arial" w:hAnsi="Arial" w:cs="Arial"/>
          <w:color w:val="4F6228" w:themeColor="accent3" w:themeShade="80"/>
          <w:sz w:val="20"/>
          <w:szCs w:val="20"/>
        </w:rPr>
        <w:t>lies</w:t>
      </w:r>
      <w:proofErr w:type="gramEnd"/>
      <w:r w:rsidRPr="00DA2C4F">
        <w:rPr>
          <w:rFonts w:ascii="Arial" w:hAnsi="Arial" w:cs="Arial"/>
          <w:color w:val="4F6228" w:themeColor="accent3" w:themeShade="80"/>
          <w:sz w:val="20"/>
          <w:szCs w:val="20"/>
        </w:rPr>
        <w:t xml:space="preserve"> the right for the employee to hear the nature of the complaint against him/her, and to offer his/ her version of events.</w:t>
      </w:r>
    </w:p>
    <w:p w:rsidR="00DA2C4F" w:rsidRPr="00DA2C4F" w:rsidRDefault="00DA2C4F" w:rsidP="00DA2C4F">
      <w:pPr>
        <w:ind w:hanging="567"/>
        <w:jc w:val="both"/>
        <w:rPr>
          <w:rFonts w:ascii="Arial" w:hAnsi="Arial" w:cs="Arial"/>
          <w:color w:val="4F6228" w:themeColor="accent3" w:themeShade="80"/>
          <w:sz w:val="20"/>
          <w:szCs w:val="20"/>
        </w:rPr>
      </w:pPr>
    </w:p>
    <w:p w:rsidR="00DA2C4F" w:rsidRPr="00DA2C4F" w:rsidRDefault="00DA2C4F" w:rsidP="00DA2C4F">
      <w:pPr>
        <w:jc w:val="both"/>
        <w:rPr>
          <w:rFonts w:ascii="Arial" w:hAnsi="Arial" w:cs="Arial"/>
          <w:color w:val="4F6228" w:themeColor="accent3" w:themeShade="80"/>
          <w:sz w:val="20"/>
          <w:szCs w:val="20"/>
        </w:rPr>
      </w:pPr>
      <w:r w:rsidRPr="00DA2C4F">
        <w:rPr>
          <w:rFonts w:ascii="Arial" w:hAnsi="Arial" w:cs="Arial"/>
          <w:color w:val="4F6228" w:themeColor="accent3" w:themeShade="80"/>
          <w:sz w:val="20"/>
          <w:szCs w:val="20"/>
        </w:rPr>
        <w:t xml:space="preserve">Disciplinary processes in South Africa have become unnecessarily complex and </w:t>
      </w:r>
      <w:proofErr w:type="spellStart"/>
      <w:r w:rsidRPr="00DA2C4F">
        <w:rPr>
          <w:rFonts w:ascii="Arial" w:hAnsi="Arial" w:cs="Arial"/>
          <w:color w:val="4F6228" w:themeColor="accent3" w:themeShade="80"/>
          <w:sz w:val="20"/>
          <w:szCs w:val="20"/>
        </w:rPr>
        <w:t>proceduralised</w:t>
      </w:r>
      <w:proofErr w:type="spellEnd"/>
      <w:r w:rsidRPr="00DA2C4F">
        <w:rPr>
          <w:rFonts w:ascii="Arial" w:hAnsi="Arial" w:cs="Arial"/>
          <w:color w:val="4F6228" w:themeColor="accent3" w:themeShade="80"/>
          <w:sz w:val="20"/>
          <w:szCs w:val="20"/>
        </w:rPr>
        <w:t xml:space="preserve">, and the essence of what is being sought in fairness and natural justice has largely been lost.  The College believes that disciplinary processes should be simple, transparent and fair, and has structured its process in the light of this, as well as in compliance with the “Code of Good Practice: Dismissal”, which you will find as an annexure to the </w:t>
      </w:r>
      <w:proofErr w:type="spellStart"/>
      <w:r w:rsidRPr="00DA2C4F">
        <w:rPr>
          <w:rFonts w:ascii="Arial" w:hAnsi="Arial" w:cs="Arial"/>
          <w:color w:val="4F6228" w:themeColor="accent3" w:themeShade="80"/>
          <w:sz w:val="20"/>
          <w:szCs w:val="20"/>
        </w:rPr>
        <w:t>Labour</w:t>
      </w:r>
      <w:proofErr w:type="spellEnd"/>
      <w:r w:rsidRPr="00DA2C4F">
        <w:rPr>
          <w:rFonts w:ascii="Arial" w:hAnsi="Arial" w:cs="Arial"/>
          <w:color w:val="4F6228" w:themeColor="accent3" w:themeShade="80"/>
          <w:sz w:val="20"/>
          <w:szCs w:val="20"/>
        </w:rPr>
        <w:t xml:space="preserve"> Relations Act 66 of 1995 (referred to as ‘LRA’) A copy of this may be obtained on request from HR, or you will find it on the Department of </w:t>
      </w:r>
      <w:proofErr w:type="spellStart"/>
      <w:r w:rsidRPr="00DA2C4F">
        <w:rPr>
          <w:rFonts w:ascii="Arial" w:hAnsi="Arial" w:cs="Arial"/>
          <w:color w:val="4F6228" w:themeColor="accent3" w:themeShade="80"/>
          <w:sz w:val="20"/>
          <w:szCs w:val="20"/>
        </w:rPr>
        <w:t>Labour’s</w:t>
      </w:r>
      <w:proofErr w:type="spellEnd"/>
      <w:r w:rsidRPr="00DA2C4F">
        <w:rPr>
          <w:rFonts w:ascii="Arial" w:hAnsi="Arial" w:cs="Arial"/>
          <w:color w:val="4F6228" w:themeColor="accent3" w:themeShade="80"/>
          <w:sz w:val="20"/>
          <w:szCs w:val="20"/>
        </w:rPr>
        <w:t xml:space="preserve"> website </w:t>
      </w:r>
      <w:hyperlink r:id="rId6" w:history="1">
        <w:r w:rsidRPr="00DA2C4F">
          <w:rPr>
            <w:rStyle w:val="Hyperlink"/>
            <w:rFonts w:ascii="Arial" w:hAnsi="Arial" w:cs="Arial"/>
            <w:color w:val="4F6228" w:themeColor="accent3" w:themeShade="80"/>
            <w:sz w:val="20"/>
            <w:szCs w:val="20"/>
          </w:rPr>
          <w:t>www.labour.gov.za</w:t>
        </w:r>
      </w:hyperlink>
      <w:r w:rsidRPr="00DA2C4F">
        <w:rPr>
          <w:rFonts w:ascii="Arial" w:hAnsi="Arial" w:cs="Arial"/>
          <w:color w:val="4F6228" w:themeColor="accent3" w:themeShade="80"/>
          <w:sz w:val="20"/>
          <w:szCs w:val="20"/>
        </w:rPr>
        <w:t xml:space="preserve"> </w:t>
      </w:r>
    </w:p>
    <w:p w:rsidR="00DA2C4F" w:rsidRPr="00DA2C4F" w:rsidRDefault="00DA2C4F" w:rsidP="00DA2C4F">
      <w:pPr>
        <w:jc w:val="both"/>
        <w:rPr>
          <w:rFonts w:ascii="Arial" w:hAnsi="Arial" w:cs="Arial"/>
          <w:color w:val="4F6228" w:themeColor="accent3" w:themeShade="80"/>
          <w:sz w:val="20"/>
          <w:szCs w:val="20"/>
        </w:rPr>
      </w:pPr>
    </w:p>
    <w:p w:rsidR="00DA2C4F" w:rsidRPr="00DA2C4F" w:rsidRDefault="00DA2C4F" w:rsidP="00DA2C4F">
      <w:pPr>
        <w:jc w:val="both"/>
        <w:rPr>
          <w:rFonts w:ascii="Arial" w:hAnsi="Arial" w:cs="Arial"/>
          <w:color w:val="4F6228" w:themeColor="accent3" w:themeShade="80"/>
          <w:sz w:val="20"/>
          <w:szCs w:val="20"/>
        </w:rPr>
      </w:pPr>
      <w:r w:rsidRPr="00DA2C4F">
        <w:rPr>
          <w:rFonts w:ascii="Arial" w:hAnsi="Arial" w:cs="Arial"/>
          <w:color w:val="4F6228" w:themeColor="accent3" w:themeShade="80"/>
          <w:sz w:val="20"/>
          <w:szCs w:val="20"/>
        </w:rPr>
        <w:t xml:space="preserve">For this reason too, rather than produce a lengthy table of offences and punishments, as is often found, the College believes that a briefly stated and positive SACE Code of Professional Ethics is a more appropriate and positive way to let all employees know the standards of conduct that they expect from their employees.  You will find this code provided for in this Handbook. </w:t>
      </w:r>
    </w:p>
    <w:p w:rsidR="00DA2C4F" w:rsidRPr="00DA2C4F" w:rsidRDefault="00DA2C4F" w:rsidP="00DA2C4F">
      <w:pPr>
        <w:jc w:val="both"/>
        <w:rPr>
          <w:rFonts w:ascii="Arial" w:hAnsi="Arial" w:cs="Arial"/>
          <w:color w:val="4F6228" w:themeColor="accent3" w:themeShade="80"/>
          <w:sz w:val="20"/>
          <w:szCs w:val="20"/>
        </w:rPr>
      </w:pPr>
    </w:p>
    <w:p w:rsidR="00DA2C4F" w:rsidRPr="00DA2C4F" w:rsidRDefault="00DA2C4F" w:rsidP="00DA2C4F">
      <w:pPr>
        <w:jc w:val="both"/>
        <w:rPr>
          <w:rFonts w:ascii="Arial" w:hAnsi="Arial" w:cs="Arial"/>
          <w:color w:val="4F6228" w:themeColor="accent3" w:themeShade="80"/>
          <w:sz w:val="20"/>
          <w:szCs w:val="20"/>
        </w:rPr>
      </w:pPr>
      <w:r w:rsidRPr="00DA2C4F">
        <w:rPr>
          <w:rFonts w:ascii="Arial" w:hAnsi="Arial" w:cs="Arial"/>
          <w:color w:val="4F6228" w:themeColor="accent3" w:themeShade="80"/>
          <w:sz w:val="20"/>
          <w:szCs w:val="20"/>
        </w:rPr>
        <w:t>Where rules may be introduced from time to time, and these have a specific content which employees could not be expected to be aware of, you will be specifically notified of these.</w:t>
      </w:r>
    </w:p>
    <w:p w:rsidR="00DA2C4F" w:rsidRPr="00DA2C4F" w:rsidRDefault="00DA2C4F" w:rsidP="00DA2C4F">
      <w:pPr>
        <w:jc w:val="both"/>
        <w:rPr>
          <w:rFonts w:ascii="Arial" w:hAnsi="Arial" w:cs="Arial"/>
          <w:color w:val="4F6228" w:themeColor="accent3" w:themeShade="80"/>
          <w:sz w:val="20"/>
          <w:szCs w:val="20"/>
        </w:rPr>
      </w:pPr>
    </w:p>
    <w:p w:rsidR="00DA2C4F" w:rsidRPr="00DA2C4F" w:rsidRDefault="00DA2C4F" w:rsidP="00DA2C4F">
      <w:pPr>
        <w:jc w:val="both"/>
        <w:rPr>
          <w:rFonts w:ascii="Arial" w:hAnsi="Arial" w:cs="Arial"/>
          <w:b/>
          <w:color w:val="4F6228" w:themeColor="accent3" w:themeShade="80"/>
          <w:sz w:val="20"/>
          <w:szCs w:val="20"/>
        </w:rPr>
      </w:pPr>
      <w:r w:rsidRPr="00DA2C4F">
        <w:rPr>
          <w:rFonts w:ascii="Arial" w:hAnsi="Arial" w:cs="Arial"/>
          <w:b/>
          <w:color w:val="4F6228" w:themeColor="accent3" w:themeShade="80"/>
          <w:sz w:val="20"/>
          <w:szCs w:val="20"/>
        </w:rPr>
        <w:t xml:space="preserve">Disciplinary Hearings  </w:t>
      </w:r>
    </w:p>
    <w:p w:rsidR="00DA2C4F" w:rsidRPr="00DA2C4F" w:rsidRDefault="00DA2C4F" w:rsidP="00DA2C4F">
      <w:pPr>
        <w:jc w:val="both"/>
        <w:rPr>
          <w:rFonts w:ascii="Arial" w:hAnsi="Arial" w:cs="Arial"/>
          <w:color w:val="4F6228" w:themeColor="accent3" w:themeShade="80"/>
          <w:sz w:val="20"/>
          <w:szCs w:val="20"/>
        </w:rPr>
      </w:pPr>
      <w:r w:rsidRPr="00DA2C4F">
        <w:rPr>
          <w:rFonts w:ascii="Arial" w:hAnsi="Arial" w:cs="Arial"/>
          <w:color w:val="4F6228" w:themeColor="accent3" w:themeShade="80"/>
          <w:sz w:val="20"/>
          <w:szCs w:val="20"/>
        </w:rPr>
        <w:t>St John’s College will conduct a disciplinary hearing wherever there is a need for a more formal complaint to be dealt with.  It will not, however, conduct these in the manner of a mini-trial, but rather as an investigation, chaired by a manager.  This is known as the ‘inquisitorial’ method of conducting an enquiry, and is perfectly lawful, fair and acceptable.  If the College deems it necessary, they may request an outside independent expert to conduct such an investigation, and make the appropriate recommendations.</w:t>
      </w:r>
    </w:p>
    <w:p w:rsidR="00DA2C4F" w:rsidRPr="00DA2C4F" w:rsidRDefault="00DA2C4F" w:rsidP="00DA2C4F">
      <w:pPr>
        <w:jc w:val="both"/>
        <w:rPr>
          <w:rFonts w:ascii="Arial" w:hAnsi="Arial" w:cs="Arial"/>
          <w:color w:val="4F6228" w:themeColor="accent3" w:themeShade="80"/>
          <w:sz w:val="20"/>
          <w:szCs w:val="20"/>
        </w:rPr>
      </w:pPr>
    </w:p>
    <w:p w:rsidR="00DA2C4F" w:rsidRPr="00DA2C4F" w:rsidRDefault="00DA2C4F" w:rsidP="00DA2C4F">
      <w:pPr>
        <w:jc w:val="both"/>
        <w:rPr>
          <w:rFonts w:ascii="Arial" w:hAnsi="Arial" w:cs="Arial"/>
          <w:b/>
          <w:color w:val="4F6228" w:themeColor="accent3" w:themeShade="80"/>
          <w:sz w:val="20"/>
          <w:szCs w:val="20"/>
        </w:rPr>
      </w:pPr>
    </w:p>
    <w:p w:rsidR="00DA2C4F" w:rsidRPr="00DA2C4F" w:rsidRDefault="00DA2C4F" w:rsidP="00DA2C4F">
      <w:pPr>
        <w:jc w:val="both"/>
        <w:rPr>
          <w:rFonts w:ascii="Arial" w:hAnsi="Arial" w:cs="Arial"/>
          <w:color w:val="4F6228" w:themeColor="accent3" w:themeShade="80"/>
          <w:sz w:val="20"/>
          <w:szCs w:val="20"/>
        </w:rPr>
      </w:pPr>
      <w:r w:rsidRPr="00DA2C4F">
        <w:rPr>
          <w:rFonts w:ascii="Arial" w:hAnsi="Arial" w:cs="Arial"/>
          <w:b/>
          <w:color w:val="4F6228" w:themeColor="accent3" w:themeShade="80"/>
          <w:sz w:val="20"/>
          <w:szCs w:val="20"/>
        </w:rPr>
        <w:t>Grievance Procedure</w:t>
      </w:r>
    </w:p>
    <w:p w:rsidR="00DA2C4F" w:rsidRPr="00DA2C4F" w:rsidRDefault="00DA2C4F" w:rsidP="00DA2C4F">
      <w:pPr>
        <w:jc w:val="both"/>
        <w:rPr>
          <w:rFonts w:ascii="Arial" w:hAnsi="Arial" w:cs="Arial"/>
          <w:bCs/>
          <w:color w:val="4F6228" w:themeColor="accent3" w:themeShade="80"/>
          <w:sz w:val="20"/>
          <w:szCs w:val="20"/>
        </w:rPr>
      </w:pPr>
      <w:r w:rsidRPr="00DA2C4F">
        <w:rPr>
          <w:rFonts w:ascii="Arial" w:hAnsi="Arial" w:cs="Arial"/>
          <w:bCs/>
          <w:color w:val="4F6228" w:themeColor="accent3" w:themeShade="80"/>
          <w:sz w:val="20"/>
          <w:szCs w:val="20"/>
        </w:rPr>
        <w:t xml:space="preserve">If, in the course of your employment, there is any </w:t>
      </w:r>
      <w:proofErr w:type="gramStart"/>
      <w:r w:rsidRPr="00DA2C4F">
        <w:rPr>
          <w:rFonts w:ascii="Arial" w:hAnsi="Arial" w:cs="Arial"/>
          <w:bCs/>
          <w:color w:val="4F6228" w:themeColor="accent3" w:themeShade="80"/>
          <w:sz w:val="20"/>
          <w:szCs w:val="20"/>
        </w:rPr>
        <w:t>matter which</w:t>
      </w:r>
      <w:proofErr w:type="gramEnd"/>
      <w:r w:rsidRPr="00DA2C4F">
        <w:rPr>
          <w:rFonts w:ascii="Arial" w:hAnsi="Arial" w:cs="Arial"/>
          <w:bCs/>
          <w:color w:val="4F6228" w:themeColor="accent3" w:themeShade="80"/>
          <w:sz w:val="20"/>
          <w:szCs w:val="20"/>
        </w:rPr>
        <w:t xml:space="preserve"> is a source of unhappiness or grievance for you, then St John’s College wants to be the first to know about it.  We maintain an open door policy, and you should initially raise any work-related issue with your immediate manager.  You may do so in writing, if you wish, and even if you do not, you manager may well wish to make a written record of your issue. </w:t>
      </w:r>
    </w:p>
    <w:p w:rsidR="00DA2C4F" w:rsidRPr="00DA2C4F" w:rsidRDefault="00DA2C4F" w:rsidP="00DA2C4F">
      <w:pPr>
        <w:jc w:val="both"/>
        <w:rPr>
          <w:rFonts w:ascii="Arial" w:hAnsi="Arial" w:cs="Arial"/>
          <w:bCs/>
          <w:color w:val="4F6228" w:themeColor="accent3" w:themeShade="80"/>
          <w:sz w:val="20"/>
          <w:szCs w:val="20"/>
        </w:rPr>
      </w:pPr>
    </w:p>
    <w:p w:rsidR="00DA2C4F" w:rsidRPr="00DA2C4F" w:rsidRDefault="00DA2C4F" w:rsidP="00DA2C4F">
      <w:pPr>
        <w:jc w:val="both"/>
        <w:rPr>
          <w:rFonts w:ascii="Arial" w:hAnsi="Arial" w:cs="Arial"/>
          <w:bCs/>
          <w:color w:val="4F6228" w:themeColor="accent3" w:themeShade="80"/>
          <w:sz w:val="20"/>
          <w:szCs w:val="20"/>
        </w:rPr>
      </w:pPr>
      <w:r w:rsidRPr="00DA2C4F">
        <w:rPr>
          <w:rFonts w:ascii="Arial" w:hAnsi="Arial" w:cs="Arial"/>
          <w:bCs/>
          <w:color w:val="4F6228" w:themeColor="accent3" w:themeShade="80"/>
          <w:sz w:val="20"/>
          <w:szCs w:val="20"/>
        </w:rPr>
        <w:t xml:space="preserve">The College undertakes that the manager concerned will revert to you within three days of your initial approach, and give you a considered response. </w:t>
      </w:r>
    </w:p>
    <w:p w:rsidR="00DA2C4F" w:rsidRPr="00DA2C4F" w:rsidRDefault="00DA2C4F" w:rsidP="00DA2C4F">
      <w:pPr>
        <w:jc w:val="both"/>
        <w:rPr>
          <w:rFonts w:ascii="Arial" w:hAnsi="Arial" w:cs="Arial"/>
          <w:bCs/>
          <w:color w:val="4F6228" w:themeColor="accent3" w:themeShade="80"/>
          <w:sz w:val="20"/>
          <w:szCs w:val="20"/>
        </w:rPr>
      </w:pPr>
    </w:p>
    <w:p w:rsidR="00DA2C4F" w:rsidRPr="00DA2C4F" w:rsidRDefault="00DA2C4F" w:rsidP="00DA2C4F">
      <w:pPr>
        <w:jc w:val="both"/>
        <w:rPr>
          <w:rFonts w:ascii="Arial" w:hAnsi="Arial" w:cs="Arial"/>
          <w:bCs/>
          <w:color w:val="4F6228" w:themeColor="accent3" w:themeShade="80"/>
          <w:sz w:val="20"/>
          <w:szCs w:val="20"/>
        </w:rPr>
      </w:pPr>
      <w:r w:rsidRPr="00DA2C4F">
        <w:rPr>
          <w:rFonts w:ascii="Arial" w:hAnsi="Arial" w:cs="Arial"/>
          <w:bCs/>
          <w:color w:val="4F6228" w:themeColor="accent3" w:themeShade="80"/>
          <w:sz w:val="20"/>
          <w:szCs w:val="20"/>
        </w:rPr>
        <w:t xml:space="preserve">If you are unhappy with this, your manager will, at your written request, refer this to Senior Management, so that the matter may be considered at a higher level.  You will receive a written and considered response to your grievance within another seven days, and if this fails to resolve the issue, we can, by mutual request, ask HR to provide a facilitator to assist in resolving the matter. </w:t>
      </w:r>
    </w:p>
    <w:p w:rsidR="00DA2C4F" w:rsidRPr="00DA2C4F" w:rsidRDefault="00DA2C4F" w:rsidP="00DA2C4F">
      <w:pPr>
        <w:jc w:val="both"/>
        <w:rPr>
          <w:rFonts w:ascii="Arial" w:hAnsi="Arial" w:cs="Arial"/>
          <w:bCs/>
          <w:color w:val="4F6228" w:themeColor="accent3" w:themeShade="80"/>
          <w:sz w:val="20"/>
          <w:szCs w:val="20"/>
        </w:rPr>
      </w:pPr>
    </w:p>
    <w:p w:rsidR="00DA2C4F" w:rsidRPr="00DA2C4F" w:rsidRDefault="00DA2C4F" w:rsidP="00DA2C4F">
      <w:pPr>
        <w:jc w:val="both"/>
        <w:rPr>
          <w:rFonts w:ascii="Arial" w:hAnsi="Arial" w:cs="Arial"/>
          <w:bCs/>
          <w:color w:val="4F6228" w:themeColor="accent3" w:themeShade="80"/>
          <w:sz w:val="20"/>
          <w:szCs w:val="20"/>
        </w:rPr>
      </w:pPr>
      <w:r w:rsidRPr="00DA2C4F">
        <w:rPr>
          <w:rFonts w:ascii="Arial" w:hAnsi="Arial" w:cs="Arial"/>
          <w:bCs/>
          <w:color w:val="4F6228" w:themeColor="accent3" w:themeShade="80"/>
          <w:sz w:val="20"/>
          <w:szCs w:val="20"/>
        </w:rPr>
        <w:t xml:space="preserve">If the employee is still aggrieved, they may refer the matter to the CCMA, if it is within the jurisdiction as set out the </w:t>
      </w:r>
      <w:proofErr w:type="spellStart"/>
      <w:r w:rsidRPr="00DA2C4F">
        <w:rPr>
          <w:rFonts w:ascii="Arial" w:hAnsi="Arial" w:cs="Arial"/>
          <w:bCs/>
          <w:color w:val="4F6228" w:themeColor="accent3" w:themeShade="80"/>
          <w:sz w:val="20"/>
          <w:szCs w:val="20"/>
        </w:rPr>
        <w:t>Labour</w:t>
      </w:r>
      <w:proofErr w:type="spellEnd"/>
      <w:r w:rsidRPr="00DA2C4F">
        <w:rPr>
          <w:rFonts w:ascii="Arial" w:hAnsi="Arial" w:cs="Arial"/>
          <w:bCs/>
          <w:color w:val="4F6228" w:themeColor="accent3" w:themeShade="80"/>
          <w:sz w:val="20"/>
          <w:szCs w:val="20"/>
        </w:rPr>
        <w:t xml:space="preserve"> Relations’ Act definition of Unfair </w:t>
      </w:r>
      <w:proofErr w:type="spellStart"/>
      <w:r w:rsidRPr="00DA2C4F">
        <w:rPr>
          <w:rFonts w:ascii="Arial" w:hAnsi="Arial" w:cs="Arial"/>
          <w:bCs/>
          <w:color w:val="4F6228" w:themeColor="accent3" w:themeShade="80"/>
          <w:sz w:val="20"/>
          <w:szCs w:val="20"/>
        </w:rPr>
        <w:t>Labour</w:t>
      </w:r>
      <w:proofErr w:type="spellEnd"/>
      <w:r w:rsidRPr="00DA2C4F">
        <w:rPr>
          <w:rFonts w:ascii="Arial" w:hAnsi="Arial" w:cs="Arial"/>
          <w:bCs/>
          <w:color w:val="4F6228" w:themeColor="accent3" w:themeShade="80"/>
          <w:sz w:val="20"/>
          <w:szCs w:val="20"/>
        </w:rPr>
        <w:t xml:space="preserve"> Practice.</w:t>
      </w:r>
    </w:p>
    <w:p w:rsidR="00DA2C4F" w:rsidRPr="00DA2C4F" w:rsidRDefault="00DA2C4F" w:rsidP="00DA2C4F">
      <w:pPr>
        <w:jc w:val="both"/>
        <w:rPr>
          <w:rFonts w:ascii="Arial" w:hAnsi="Arial" w:cs="Arial"/>
          <w:bCs/>
          <w:color w:val="4F6228" w:themeColor="accent3" w:themeShade="80"/>
          <w:sz w:val="20"/>
          <w:szCs w:val="20"/>
        </w:rPr>
      </w:pPr>
    </w:p>
    <w:p w:rsidR="00DA2C4F" w:rsidRPr="00DA2C4F" w:rsidRDefault="00DA2C4F" w:rsidP="00DA2C4F">
      <w:pPr>
        <w:jc w:val="both"/>
        <w:rPr>
          <w:rFonts w:ascii="Arial" w:hAnsi="Arial" w:cs="Arial"/>
          <w:bCs/>
          <w:color w:val="4F6228" w:themeColor="accent3" w:themeShade="80"/>
          <w:sz w:val="20"/>
          <w:szCs w:val="20"/>
        </w:rPr>
      </w:pPr>
      <w:r w:rsidRPr="00DA2C4F">
        <w:rPr>
          <w:rFonts w:ascii="Arial" w:hAnsi="Arial" w:cs="Arial"/>
          <w:bCs/>
          <w:color w:val="4F6228" w:themeColor="accent3" w:themeShade="80"/>
          <w:sz w:val="20"/>
          <w:szCs w:val="20"/>
        </w:rPr>
        <w:t xml:space="preserve">It should be noted, that this process excludes issues relating to discipline and dismissals, which are dealt with in terms of that procedure, and claims for increases in remuneration – the so called “disputes of interest” in </w:t>
      </w:r>
      <w:proofErr w:type="spellStart"/>
      <w:r w:rsidRPr="00DA2C4F">
        <w:rPr>
          <w:rFonts w:ascii="Arial" w:hAnsi="Arial" w:cs="Arial"/>
          <w:bCs/>
          <w:color w:val="4F6228" w:themeColor="accent3" w:themeShade="80"/>
          <w:sz w:val="20"/>
          <w:szCs w:val="20"/>
        </w:rPr>
        <w:t>labour</w:t>
      </w:r>
      <w:proofErr w:type="spellEnd"/>
      <w:r w:rsidRPr="00DA2C4F">
        <w:rPr>
          <w:rFonts w:ascii="Arial" w:hAnsi="Arial" w:cs="Arial"/>
          <w:bCs/>
          <w:color w:val="4F6228" w:themeColor="accent3" w:themeShade="80"/>
          <w:sz w:val="20"/>
          <w:szCs w:val="20"/>
        </w:rPr>
        <w:t xml:space="preserve"> law.  Malicious referrals and spurious complaints against another employee or manager, which is made </w:t>
      </w:r>
      <w:proofErr w:type="spellStart"/>
      <w:r w:rsidRPr="00DA2C4F">
        <w:rPr>
          <w:rFonts w:ascii="Arial" w:hAnsi="Arial" w:cs="Arial"/>
          <w:bCs/>
          <w:color w:val="4F6228" w:themeColor="accent3" w:themeShade="80"/>
          <w:sz w:val="20"/>
          <w:szCs w:val="20"/>
        </w:rPr>
        <w:t>vexatiously</w:t>
      </w:r>
      <w:proofErr w:type="spellEnd"/>
      <w:r w:rsidRPr="00DA2C4F">
        <w:rPr>
          <w:rFonts w:ascii="Arial" w:hAnsi="Arial" w:cs="Arial"/>
          <w:bCs/>
          <w:color w:val="4F6228" w:themeColor="accent3" w:themeShade="80"/>
          <w:sz w:val="20"/>
          <w:szCs w:val="20"/>
        </w:rPr>
        <w:t xml:space="preserve"> and without any good </w:t>
      </w:r>
      <w:proofErr w:type="gramStart"/>
      <w:r w:rsidRPr="00DA2C4F">
        <w:rPr>
          <w:rFonts w:ascii="Arial" w:hAnsi="Arial" w:cs="Arial"/>
          <w:bCs/>
          <w:color w:val="4F6228" w:themeColor="accent3" w:themeShade="80"/>
          <w:sz w:val="20"/>
          <w:szCs w:val="20"/>
        </w:rPr>
        <w:t>cause</w:t>
      </w:r>
      <w:proofErr w:type="gramEnd"/>
      <w:r w:rsidRPr="00DA2C4F">
        <w:rPr>
          <w:rFonts w:ascii="Arial" w:hAnsi="Arial" w:cs="Arial"/>
          <w:bCs/>
          <w:color w:val="4F6228" w:themeColor="accent3" w:themeShade="80"/>
          <w:sz w:val="20"/>
          <w:szCs w:val="20"/>
        </w:rPr>
        <w:t xml:space="preserve"> will be regarded in a serious light.  </w:t>
      </w:r>
    </w:p>
    <w:p w:rsidR="00DA2C4F" w:rsidRPr="00DA2C4F" w:rsidRDefault="00DA2C4F" w:rsidP="00DA2C4F">
      <w:pPr>
        <w:jc w:val="both"/>
        <w:rPr>
          <w:rFonts w:ascii="Arial" w:hAnsi="Arial" w:cs="Arial"/>
          <w:bCs/>
          <w:color w:val="4F6228" w:themeColor="accent3" w:themeShade="80"/>
        </w:rPr>
      </w:pPr>
    </w:p>
    <w:p w:rsidR="00DA2C4F" w:rsidRPr="00DA2C4F" w:rsidRDefault="00DA2C4F" w:rsidP="00DA2C4F">
      <w:pPr>
        <w:jc w:val="both"/>
        <w:rPr>
          <w:rFonts w:ascii="Arial" w:hAnsi="Arial" w:cs="Arial"/>
          <w:color w:val="4F6228" w:themeColor="accent3" w:themeShade="80"/>
        </w:rPr>
      </w:pPr>
    </w:p>
    <w:p w:rsidR="00DA2C4F" w:rsidRPr="00DA2C4F" w:rsidRDefault="00DA2C4F" w:rsidP="00DA2C4F">
      <w:pPr>
        <w:jc w:val="both"/>
        <w:rPr>
          <w:rFonts w:ascii="Arial" w:hAnsi="Arial" w:cs="Arial"/>
          <w:b/>
          <w:bCs/>
          <w:color w:val="4F6228" w:themeColor="accent3" w:themeShade="80"/>
          <w:sz w:val="20"/>
          <w:szCs w:val="20"/>
        </w:rPr>
      </w:pPr>
    </w:p>
    <w:p w:rsidR="00DA2C4F" w:rsidRPr="00DA2C4F" w:rsidRDefault="00DA2C4F" w:rsidP="00DA2C4F">
      <w:pPr>
        <w:jc w:val="both"/>
        <w:rPr>
          <w:rFonts w:ascii="Arial" w:hAnsi="Arial" w:cs="Arial"/>
          <w:b/>
          <w:bCs/>
          <w:color w:val="4F6228" w:themeColor="accent3" w:themeShade="80"/>
          <w:sz w:val="20"/>
          <w:szCs w:val="20"/>
        </w:rPr>
      </w:pPr>
      <w:r w:rsidRPr="00DA2C4F">
        <w:rPr>
          <w:rFonts w:ascii="Arial" w:hAnsi="Arial" w:cs="Arial"/>
          <w:b/>
          <w:bCs/>
          <w:color w:val="4F6228" w:themeColor="accent3" w:themeShade="80"/>
          <w:sz w:val="20"/>
          <w:szCs w:val="20"/>
        </w:rPr>
        <w:t xml:space="preserve">69. </w:t>
      </w:r>
      <w:r w:rsidRPr="00DA2C4F">
        <w:rPr>
          <w:rFonts w:ascii="Arial" w:hAnsi="Arial" w:cs="Arial"/>
          <w:b/>
          <w:bCs/>
          <w:color w:val="4F6228" w:themeColor="accent3" w:themeShade="80"/>
          <w:sz w:val="20"/>
          <w:szCs w:val="20"/>
        </w:rPr>
        <w:tab/>
        <w:t>Aids Policy</w:t>
      </w:r>
    </w:p>
    <w:p w:rsidR="00DA2C4F" w:rsidRPr="00DA2C4F" w:rsidRDefault="00DA2C4F" w:rsidP="00DA2C4F">
      <w:pPr>
        <w:jc w:val="both"/>
        <w:rPr>
          <w:rFonts w:ascii="Arial" w:hAnsi="Arial" w:cs="Arial"/>
          <w:b/>
          <w:bCs/>
          <w:color w:val="4F6228" w:themeColor="accent3" w:themeShade="80"/>
          <w:sz w:val="20"/>
          <w:szCs w:val="20"/>
        </w:rPr>
      </w:pPr>
    </w:p>
    <w:p w:rsidR="00DA2C4F" w:rsidRPr="00DA2C4F" w:rsidRDefault="00DA2C4F" w:rsidP="00DA2C4F">
      <w:pPr>
        <w:pStyle w:val="Heading1"/>
        <w:jc w:val="center"/>
        <w:rPr>
          <w:rFonts w:ascii="Arial" w:hAnsi="Arial" w:cs="Arial"/>
          <w:color w:val="4F6228" w:themeColor="accent3" w:themeShade="80"/>
          <w:sz w:val="20"/>
          <w:szCs w:val="20"/>
        </w:rPr>
      </w:pPr>
      <w:r w:rsidRPr="00DA2C4F">
        <w:rPr>
          <w:rFonts w:ascii="Arial" w:hAnsi="Arial" w:cs="Arial"/>
          <w:color w:val="4F6228" w:themeColor="accent3" w:themeShade="80"/>
          <w:sz w:val="20"/>
          <w:szCs w:val="20"/>
        </w:rPr>
        <w:t>St John’s College, Houghton</w:t>
      </w:r>
    </w:p>
    <w:p w:rsidR="00DA2C4F" w:rsidRPr="00DA2C4F" w:rsidRDefault="00DA2C4F" w:rsidP="00DA2C4F">
      <w:pPr>
        <w:jc w:val="center"/>
        <w:rPr>
          <w:rFonts w:ascii="Arial" w:hAnsi="Arial" w:cs="Arial"/>
          <w:b/>
          <w:bCs/>
          <w:color w:val="4F6228" w:themeColor="accent3" w:themeShade="80"/>
          <w:sz w:val="20"/>
          <w:szCs w:val="20"/>
          <w:u w:val="single"/>
        </w:rPr>
      </w:pPr>
      <w:r w:rsidRPr="00DA2C4F">
        <w:rPr>
          <w:rFonts w:ascii="Arial" w:hAnsi="Arial" w:cs="Arial"/>
          <w:b/>
          <w:bCs/>
          <w:color w:val="4F6228" w:themeColor="accent3" w:themeShade="80"/>
          <w:sz w:val="20"/>
          <w:szCs w:val="20"/>
          <w:u w:val="single"/>
        </w:rPr>
        <w:t xml:space="preserve">(Incorporating The Bridge Nursery School, St John’s Pre-Preparatory, Preparatory, College and </w:t>
      </w:r>
    </w:p>
    <w:p w:rsidR="00DA2C4F" w:rsidRPr="00DA2C4F" w:rsidRDefault="00DA2C4F" w:rsidP="00DA2C4F">
      <w:pPr>
        <w:jc w:val="center"/>
        <w:rPr>
          <w:rFonts w:ascii="Arial" w:hAnsi="Arial" w:cs="Arial"/>
          <w:b/>
          <w:bCs/>
          <w:color w:val="4F6228" w:themeColor="accent3" w:themeShade="80"/>
          <w:sz w:val="20"/>
          <w:szCs w:val="20"/>
          <w:u w:val="single"/>
        </w:rPr>
      </w:pPr>
      <w:r w:rsidRPr="00DA2C4F">
        <w:rPr>
          <w:rFonts w:ascii="Arial" w:hAnsi="Arial" w:cs="Arial"/>
          <w:b/>
          <w:bCs/>
          <w:color w:val="4F6228" w:themeColor="accent3" w:themeShade="80"/>
          <w:sz w:val="20"/>
          <w:szCs w:val="20"/>
          <w:u w:val="single"/>
        </w:rPr>
        <w:t>Sixth form campuses)</w:t>
      </w:r>
    </w:p>
    <w:p w:rsidR="00DA2C4F" w:rsidRPr="00DA2C4F" w:rsidRDefault="00DA2C4F" w:rsidP="00DA2C4F">
      <w:pPr>
        <w:tabs>
          <w:tab w:val="left" w:pos="2790"/>
        </w:tabs>
        <w:jc w:val="center"/>
        <w:rPr>
          <w:rFonts w:ascii="Arial" w:hAnsi="Arial" w:cs="Arial"/>
          <w:b/>
          <w:bCs/>
          <w:color w:val="4F6228" w:themeColor="accent3" w:themeShade="80"/>
          <w:sz w:val="20"/>
          <w:szCs w:val="20"/>
          <w:u w:val="single"/>
        </w:rPr>
      </w:pPr>
    </w:p>
    <w:p w:rsidR="00DA2C4F" w:rsidRPr="00DA2C4F" w:rsidRDefault="00DA2C4F" w:rsidP="00DA2C4F">
      <w:pPr>
        <w:pStyle w:val="Heading2"/>
        <w:jc w:val="center"/>
        <w:rPr>
          <w:color w:val="4F6228" w:themeColor="accent3" w:themeShade="80"/>
          <w:sz w:val="20"/>
          <w:szCs w:val="20"/>
        </w:rPr>
      </w:pPr>
      <w:r w:rsidRPr="00DA2C4F">
        <w:rPr>
          <w:color w:val="4F6228" w:themeColor="accent3" w:themeShade="80"/>
          <w:sz w:val="20"/>
          <w:szCs w:val="20"/>
        </w:rPr>
        <w:t>HIV / AIDS POLICY</w:t>
      </w:r>
    </w:p>
    <w:p w:rsidR="00DA2C4F" w:rsidRPr="00DA2C4F" w:rsidRDefault="00DA2C4F" w:rsidP="00DA2C4F">
      <w:pPr>
        <w:pStyle w:val="Heading3"/>
        <w:jc w:val="both"/>
        <w:rPr>
          <w:b w:val="0"/>
          <w:bCs w:val="0"/>
          <w:color w:val="4F6228" w:themeColor="accent3" w:themeShade="80"/>
          <w:szCs w:val="20"/>
        </w:rPr>
      </w:pPr>
    </w:p>
    <w:p w:rsidR="00DA2C4F" w:rsidRPr="00DA2C4F" w:rsidRDefault="00DA2C4F" w:rsidP="00DA2C4F">
      <w:pPr>
        <w:pStyle w:val="Heading3"/>
        <w:jc w:val="both"/>
        <w:rPr>
          <w:b w:val="0"/>
          <w:bCs w:val="0"/>
          <w:color w:val="4F6228" w:themeColor="accent3" w:themeShade="80"/>
          <w:szCs w:val="20"/>
        </w:rPr>
      </w:pPr>
      <w:r w:rsidRPr="00DA2C4F">
        <w:rPr>
          <w:b w:val="0"/>
          <w:bCs w:val="0"/>
          <w:color w:val="4F6228" w:themeColor="accent3" w:themeShade="80"/>
          <w:szCs w:val="20"/>
        </w:rPr>
        <w:t>In terms of its functions under the South African Schools Act, 1996 (no: 84 of 1996), the Further Education and Training Act, 1998 (No: 8 of 1998) and The Employment of Educators Act (No: 76 of 1998),</w:t>
      </w:r>
    </w:p>
    <w:p w:rsidR="00DA2C4F" w:rsidRPr="00DA2C4F" w:rsidRDefault="00DA2C4F" w:rsidP="00DA2C4F">
      <w:pPr>
        <w:jc w:val="both"/>
        <w:rPr>
          <w:rFonts w:ascii="Arial" w:hAnsi="Arial" w:cs="Arial"/>
          <w:color w:val="4F6228" w:themeColor="accent3" w:themeShade="80"/>
          <w:sz w:val="20"/>
          <w:szCs w:val="20"/>
        </w:rPr>
      </w:pPr>
    </w:p>
    <w:p w:rsidR="00DA2C4F" w:rsidRPr="00DA2C4F" w:rsidRDefault="00DA2C4F" w:rsidP="00DA2C4F">
      <w:pPr>
        <w:pStyle w:val="BodyText"/>
        <w:rPr>
          <w:color w:val="4F6228" w:themeColor="accent3" w:themeShade="80"/>
          <w:sz w:val="20"/>
          <w:szCs w:val="20"/>
        </w:rPr>
      </w:pPr>
      <w:r w:rsidRPr="00DA2C4F">
        <w:rPr>
          <w:color w:val="4F6228" w:themeColor="accent3" w:themeShade="80"/>
          <w:sz w:val="20"/>
          <w:szCs w:val="20"/>
        </w:rPr>
        <w:t xml:space="preserve">St. John’s College and the Council of St John’s College acknowledge the severity of HIV/AIDS in this country and </w:t>
      </w:r>
      <w:proofErr w:type="gramStart"/>
      <w:r w:rsidRPr="00DA2C4F">
        <w:rPr>
          <w:color w:val="4F6228" w:themeColor="accent3" w:themeShade="80"/>
          <w:sz w:val="20"/>
          <w:szCs w:val="20"/>
        </w:rPr>
        <w:t>has</w:t>
      </w:r>
      <w:proofErr w:type="gramEnd"/>
      <w:r w:rsidRPr="00DA2C4F">
        <w:rPr>
          <w:color w:val="4F6228" w:themeColor="accent3" w:themeShade="80"/>
          <w:sz w:val="20"/>
          <w:szCs w:val="20"/>
        </w:rPr>
        <w:t xml:space="preserve"> drawn up the following HIV/AIDS Policy which is in accordance with the National Aids Policy.</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rPr>
          <w:color w:val="4F6228" w:themeColor="accent3" w:themeShade="80"/>
          <w:sz w:val="20"/>
          <w:szCs w:val="20"/>
        </w:rPr>
      </w:pPr>
      <w:r w:rsidRPr="00DA2C4F">
        <w:rPr>
          <w:color w:val="4F6228" w:themeColor="accent3" w:themeShade="80"/>
          <w:sz w:val="20"/>
          <w:szCs w:val="20"/>
        </w:rPr>
        <w:t>There are no known cases of transmission of HIV in the College and HIV cannot be transmitted through the day-to-day social contact.</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rPr>
          <w:color w:val="4F6228" w:themeColor="accent3" w:themeShade="80"/>
          <w:sz w:val="20"/>
          <w:szCs w:val="20"/>
        </w:rPr>
      </w:pPr>
      <w:r w:rsidRPr="00DA2C4F">
        <w:rPr>
          <w:color w:val="4F6228" w:themeColor="accent3" w:themeShade="80"/>
          <w:sz w:val="20"/>
          <w:szCs w:val="20"/>
        </w:rPr>
        <w:t>The following policy has been drawn up:</w:t>
      </w:r>
    </w:p>
    <w:p w:rsidR="00DA2C4F" w:rsidRPr="00DA2C4F" w:rsidRDefault="00DA2C4F" w:rsidP="00DA2C4F">
      <w:pPr>
        <w:pStyle w:val="BodyText"/>
        <w:ind w:right="170"/>
        <w:rPr>
          <w:color w:val="4F6228" w:themeColor="accent3" w:themeShade="80"/>
          <w:sz w:val="20"/>
          <w:szCs w:val="20"/>
        </w:rPr>
      </w:pP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Learners with HIV/AIDS should lead a full life as far as possible at the College and should not be denied the opportunity to receive an education to the maximum of their ability.</w:t>
      </w:r>
    </w:p>
    <w:p w:rsidR="00DA2C4F" w:rsidRPr="00DA2C4F" w:rsidRDefault="00DA2C4F" w:rsidP="00DA2C4F">
      <w:pPr>
        <w:pStyle w:val="BodyText"/>
        <w:ind w:right="170"/>
        <w:rPr>
          <w:color w:val="4F6228" w:themeColor="accent3" w:themeShade="80"/>
          <w:sz w:val="16"/>
          <w:szCs w:val="16"/>
        </w:rPr>
      </w:pP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No learner/educator/administrative staff member or general worker is compelled to disclose his/her HIV/AIDS status to the College.  However, a genuine voluntary disclosure of his/her HIV/AIDS status would be welcomed.</w:t>
      </w:r>
    </w:p>
    <w:p w:rsidR="00DA2C4F" w:rsidRPr="00DA2C4F" w:rsidRDefault="00DA2C4F" w:rsidP="00DA2C4F">
      <w:pPr>
        <w:pStyle w:val="BodyText"/>
        <w:ind w:right="170"/>
        <w:rPr>
          <w:color w:val="4F6228" w:themeColor="accent3" w:themeShade="80"/>
          <w:sz w:val="16"/>
          <w:szCs w:val="16"/>
        </w:rPr>
      </w:pP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 xml:space="preserve">The constitutional rights of all learners and educators must be protected on an equal basis.  If it is therefore ascertained that a learner/educator/administrative staff member or general worker poses a medically </w:t>
      </w:r>
      <w:proofErr w:type="spellStart"/>
      <w:r w:rsidRPr="00DA2C4F">
        <w:rPr>
          <w:color w:val="4F6228" w:themeColor="accent3" w:themeShade="80"/>
          <w:sz w:val="20"/>
          <w:szCs w:val="20"/>
        </w:rPr>
        <w:t>recognised</w:t>
      </w:r>
      <w:proofErr w:type="spellEnd"/>
      <w:r w:rsidRPr="00DA2C4F">
        <w:rPr>
          <w:color w:val="4F6228" w:themeColor="accent3" w:themeShade="80"/>
          <w:sz w:val="20"/>
          <w:szCs w:val="20"/>
        </w:rPr>
        <w:t xml:space="preserve"> significant health risk to others, appropriate measures will be taken to counter that risk.</w:t>
      </w:r>
    </w:p>
    <w:p w:rsidR="00DA2C4F" w:rsidRPr="00DA2C4F" w:rsidRDefault="00DA2C4F" w:rsidP="00DA2C4F">
      <w:pPr>
        <w:pStyle w:val="BodyText"/>
        <w:ind w:right="170"/>
        <w:rPr>
          <w:color w:val="4F6228" w:themeColor="accent3" w:themeShade="80"/>
          <w:sz w:val="16"/>
          <w:szCs w:val="16"/>
        </w:rPr>
      </w:pP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Learners/educators/administrative staff members or general workers must receive education about HIV/AIDS on an ongoing basis.  Parents must be informed about the HIV/AIDS education at the College.</w:t>
      </w:r>
    </w:p>
    <w:p w:rsidR="00DA2C4F" w:rsidRPr="00DA2C4F" w:rsidRDefault="00DA2C4F" w:rsidP="00DA2C4F">
      <w:pPr>
        <w:pStyle w:val="BodyText"/>
        <w:ind w:right="170"/>
        <w:rPr>
          <w:color w:val="4F6228" w:themeColor="accent3" w:themeShade="80"/>
          <w:sz w:val="16"/>
          <w:szCs w:val="16"/>
        </w:rPr>
      </w:pPr>
      <w:r w:rsidRPr="00DA2C4F">
        <w:rPr>
          <w:color w:val="4F6228" w:themeColor="accent3" w:themeShade="80"/>
          <w:sz w:val="20"/>
          <w:szCs w:val="20"/>
        </w:rPr>
        <w:t xml:space="preserve">    </w:t>
      </w: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No learner/educator/administrative staff members or general workers with HIV/AIDS or perceived as having HIV/AIDS may be unfairly discriminated against.</w:t>
      </w:r>
    </w:p>
    <w:p w:rsidR="00DA2C4F" w:rsidRPr="00DA2C4F" w:rsidRDefault="00DA2C4F" w:rsidP="00DA2C4F">
      <w:pPr>
        <w:pStyle w:val="BodyText"/>
        <w:ind w:right="170"/>
        <w:rPr>
          <w:color w:val="4F6228" w:themeColor="accent3" w:themeShade="80"/>
          <w:sz w:val="16"/>
          <w:szCs w:val="16"/>
        </w:rPr>
      </w:pPr>
      <w:r w:rsidRPr="00DA2C4F">
        <w:rPr>
          <w:color w:val="4F6228" w:themeColor="accent3" w:themeShade="80"/>
          <w:sz w:val="20"/>
          <w:szCs w:val="20"/>
        </w:rPr>
        <w:t xml:space="preserve">     </w:t>
      </w: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 xml:space="preserve">Learners/educators/administrative staff members or general workers with HIV/AIDS </w:t>
      </w:r>
      <w:proofErr w:type="gramStart"/>
      <w:r w:rsidRPr="00DA2C4F">
        <w:rPr>
          <w:color w:val="4F6228" w:themeColor="accent3" w:themeShade="80"/>
          <w:sz w:val="20"/>
          <w:szCs w:val="20"/>
        </w:rPr>
        <w:t>perceived</w:t>
      </w:r>
      <w:proofErr w:type="gramEnd"/>
      <w:r w:rsidRPr="00DA2C4F">
        <w:rPr>
          <w:color w:val="4F6228" w:themeColor="accent3" w:themeShade="80"/>
          <w:sz w:val="20"/>
          <w:szCs w:val="20"/>
        </w:rPr>
        <w:t xml:space="preserve"> as having HIV/AIDS should be treated in a just and humane manner.</w:t>
      </w:r>
    </w:p>
    <w:p w:rsidR="00DA2C4F" w:rsidRPr="00DA2C4F" w:rsidRDefault="00DA2C4F" w:rsidP="00DA2C4F">
      <w:pPr>
        <w:pStyle w:val="BodyText"/>
        <w:ind w:right="170"/>
        <w:rPr>
          <w:color w:val="4F6228" w:themeColor="accent3" w:themeShade="80"/>
          <w:sz w:val="16"/>
          <w:szCs w:val="16"/>
        </w:rPr>
      </w:pP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No learner may be denied admission to St John’s College on account of his/her HIV/AIDS positive status, nor should their continued attendance at St John’s College be denied.</w:t>
      </w:r>
    </w:p>
    <w:p w:rsidR="00DA2C4F" w:rsidRPr="00DA2C4F" w:rsidRDefault="00DA2C4F" w:rsidP="00DA2C4F">
      <w:pPr>
        <w:pStyle w:val="BodyText"/>
        <w:ind w:left="360" w:right="170"/>
        <w:rPr>
          <w:color w:val="4F6228" w:themeColor="accent3" w:themeShade="80"/>
          <w:sz w:val="16"/>
          <w:szCs w:val="16"/>
        </w:rPr>
      </w:pPr>
    </w:p>
    <w:p w:rsidR="00DA2C4F" w:rsidRPr="00DA2C4F" w:rsidRDefault="00DA2C4F" w:rsidP="00DA2C4F">
      <w:pPr>
        <w:pStyle w:val="BodyText"/>
        <w:numPr>
          <w:ilvl w:val="0"/>
          <w:numId w:val="2"/>
        </w:numPr>
        <w:ind w:right="170"/>
        <w:rPr>
          <w:color w:val="4F6228" w:themeColor="accent3" w:themeShade="80"/>
          <w:sz w:val="20"/>
          <w:szCs w:val="20"/>
        </w:rPr>
      </w:pPr>
      <w:r w:rsidRPr="00DA2C4F">
        <w:rPr>
          <w:color w:val="4F6228" w:themeColor="accent3" w:themeShade="80"/>
          <w:sz w:val="20"/>
          <w:szCs w:val="20"/>
        </w:rPr>
        <w:t>No educator may be denied the right to teach because of his/her HIV/AIDS positive status.</w:t>
      </w:r>
    </w:p>
    <w:p w:rsidR="00DA2C4F" w:rsidRPr="00DA2C4F" w:rsidRDefault="00DA2C4F" w:rsidP="00DA2C4F">
      <w:pPr>
        <w:pStyle w:val="BodyText"/>
        <w:ind w:right="170"/>
        <w:rPr>
          <w:color w:val="4F6228" w:themeColor="accent3" w:themeShade="80"/>
          <w:sz w:val="20"/>
          <w:szCs w:val="20"/>
        </w:rPr>
      </w:pPr>
    </w:p>
    <w:p w:rsidR="00DA2C4F" w:rsidRPr="00DA2C4F" w:rsidRDefault="00DA2C4F" w:rsidP="00DA2C4F">
      <w:pPr>
        <w:pStyle w:val="BodyText"/>
        <w:numPr>
          <w:ilvl w:val="0"/>
          <w:numId w:val="2"/>
        </w:numPr>
        <w:ind w:right="170"/>
        <w:jc w:val="left"/>
        <w:rPr>
          <w:color w:val="4F6228" w:themeColor="accent3" w:themeShade="80"/>
          <w:sz w:val="20"/>
          <w:szCs w:val="20"/>
        </w:rPr>
      </w:pPr>
      <w:r w:rsidRPr="00DA2C4F">
        <w:rPr>
          <w:color w:val="4F6228" w:themeColor="accent3" w:themeShade="80"/>
          <w:sz w:val="20"/>
          <w:szCs w:val="20"/>
        </w:rPr>
        <w:t>There will be no routine testing for HIV.</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rPr>
          <w:color w:val="4F6228" w:themeColor="accent3" w:themeShade="80"/>
          <w:sz w:val="20"/>
          <w:szCs w:val="20"/>
        </w:rPr>
      </w:pPr>
      <w:r w:rsidRPr="00DA2C4F">
        <w:rPr>
          <w:color w:val="4F6228" w:themeColor="accent3" w:themeShade="80"/>
          <w:sz w:val="20"/>
          <w:szCs w:val="20"/>
        </w:rPr>
        <w:t xml:space="preserve">Should a learner with HIV/AIDS become incapacitated through an illness or pose a significant medical risk to others, the College will </w:t>
      </w:r>
      <w:proofErr w:type="spellStart"/>
      <w:r w:rsidRPr="00DA2C4F">
        <w:rPr>
          <w:color w:val="4F6228" w:themeColor="accent3" w:themeShade="80"/>
          <w:sz w:val="20"/>
          <w:szCs w:val="20"/>
        </w:rPr>
        <w:t>endeavour</w:t>
      </w:r>
      <w:proofErr w:type="spellEnd"/>
      <w:r w:rsidRPr="00DA2C4F">
        <w:rPr>
          <w:color w:val="4F6228" w:themeColor="accent3" w:themeShade="80"/>
          <w:sz w:val="20"/>
          <w:szCs w:val="20"/>
        </w:rPr>
        <w:t xml:space="preserve"> to make academic work available for home study (see section 51 of the South African Schools Act, 1996 (No: 84 of 1996).</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rPr>
          <w:color w:val="4F6228" w:themeColor="accent3" w:themeShade="80"/>
          <w:sz w:val="20"/>
          <w:szCs w:val="20"/>
        </w:rPr>
      </w:pPr>
      <w:r w:rsidRPr="00DA2C4F">
        <w:rPr>
          <w:color w:val="4F6228" w:themeColor="accent3" w:themeShade="80"/>
          <w:sz w:val="20"/>
          <w:szCs w:val="20"/>
        </w:rPr>
        <w:t xml:space="preserve">In the event of voluntary disclosure, it may be in the best interests of the learner with HIV/AIDS </w:t>
      </w:r>
      <w:proofErr w:type="gramStart"/>
      <w:r w:rsidRPr="00DA2C4F">
        <w:rPr>
          <w:color w:val="4F6228" w:themeColor="accent3" w:themeShade="80"/>
          <w:sz w:val="20"/>
          <w:szCs w:val="20"/>
        </w:rPr>
        <w:t>that educators</w:t>
      </w:r>
      <w:proofErr w:type="gramEnd"/>
      <w:r w:rsidRPr="00DA2C4F">
        <w:rPr>
          <w:color w:val="4F6228" w:themeColor="accent3" w:themeShade="80"/>
          <w:sz w:val="20"/>
          <w:szCs w:val="20"/>
        </w:rPr>
        <w:t xml:space="preserve"> in whose care the learner falls, is informed of his/her status either by the learner or the parents of the leaner if the learner is under the age of 14.  Otherwise all information should be kept confidential unless authorized by the learner or his/her parents.</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rPr>
          <w:b/>
          <w:color w:val="4F6228" w:themeColor="accent3" w:themeShade="80"/>
          <w:sz w:val="20"/>
          <w:szCs w:val="20"/>
        </w:rPr>
      </w:pPr>
      <w:r w:rsidRPr="00DA2C4F">
        <w:rPr>
          <w:b/>
          <w:color w:val="4F6228" w:themeColor="accent3" w:themeShade="80"/>
          <w:sz w:val="20"/>
          <w:szCs w:val="20"/>
        </w:rPr>
        <w:t>UNAUTHORISED DISCLOSURE OF HIV/AIDS RELATED INFORMATION COULD GIVE RISE TO LEGAL LIABILITY.</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numPr>
          <w:ilvl w:val="0"/>
          <w:numId w:val="2"/>
        </w:numPr>
        <w:rPr>
          <w:color w:val="4F6228" w:themeColor="accent3" w:themeShade="80"/>
          <w:sz w:val="20"/>
          <w:szCs w:val="20"/>
        </w:rPr>
      </w:pPr>
      <w:r w:rsidRPr="00DA2C4F">
        <w:rPr>
          <w:color w:val="4F6228" w:themeColor="accent3" w:themeShade="80"/>
          <w:sz w:val="20"/>
          <w:szCs w:val="20"/>
        </w:rPr>
        <w:t xml:space="preserve">      St. John’s College, its educators, non-teaching staff and general workers will as far as possible ensure </w:t>
      </w:r>
    </w:p>
    <w:p w:rsidR="00DA2C4F" w:rsidRPr="00DA2C4F" w:rsidRDefault="00DA2C4F" w:rsidP="00DA2C4F">
      <w:pPr>
        <w:pStyle w:val="BodyText"/>
        <w:ind w:left="360"/>
        <w:rPr>
          <w:color w:val="4F6228" w:themeColor="accent3" w:themeShade="80"/>
          <w:sz w:val="20"/>
          <w:szCs w:val="20"/>
        </w:rPr>
      </w:pPr>
      <w:r w:rsidRPr="00DA2C4F">
        <w:rPr>
          <w:color w:val="4F6228" w:themeColor="accent3" w:themeShade="80"/>
          <w:sz w:val="20"/>
          <w:szCs w:val="20"/>
        </w:rPr>
        <w:t xml:space="preserve">      </w:t>
      </w:r>
      <w:proofErr w:type="gramStart"/>
      <w:r w:rsidRPr="00DA2C4F">
        <w:rPr>
          <w:color w:val="4F6228" w:themeColor="accent3" w:themeShade="80"/>
          <w:sz w:val="20"/>
          <w:szCs w:val="20"/>
        </w:rPr>
        <w:t>that</w:t>
      </w:r>
      <w:proofErr w:type="gramEnd"/>
      <w:r w:rsidRPr="00DA2C4F">
        <w:rPr>
          <w:color w:val="4F6228" w:themeColor="accent3" w:themeShade="80"/>
          <w:sz w:val="20"/>
          <w:szCs w:val="20"/>
        </w:rPr>
        <w:t xml:space="preserve"> the necessary safety precautions are in place at the College.</w:t>
      </w:r>
    </w:p>
    <w:p w:rsidR="00DA2C4F" w:rsidRPr="00DA2C4F" w:rsidRDefault="00DA2C4F" w:rsidP="00DA2C4F">
      <w:pPr>
        <w:pStyle w:val="BodyText"/>
        <w:tabs>
          <w:tab w:val="left" w:pos="720"/>
        </w:tabs>
        <w:ind w:left="360"/>
        <w:rPr>
          <w:color w:val="4F6228" w:themeColor="accent3" w:themeShade="80"/>
          <w:sz w:val="20"/>
          <w:szCs w:val="20"/>
        </w:rPr>
      </w:pPr>
      <w:r w:rsidRPr="00DA2C4F">
        <w:rPr>
          <w:color w:val="4F6228" w:themeColor="accent3" w:themeShade="80"/>
          <w:sz w:val="20"/>
          <w:szCs w:val="20"/>
        </w:rPr>
        <w:tab/>
      </w:r>
    </w:p>
    <w:p w:rsidR="00DA2C4F" w:rsidRPr="00DA2C4F" w:rsidRDefault="00DA2C4F" w:rsidP="00DA2C4F">
      <w:pPr>
        <w:pStyle w:val="BodyText"/>
        <w:numPr>
          <w:ilvl w:val="0"/>
          <w:numId w:val="2"/>
        </w:numPr>
        <w:tabs>
          <w:tab w:val="left" w:pos="720"/>
        </w:tabs>
        <w:rPr>
          <w:color w:val="4F6228" w:themeColor="accent3" w:themeShade="80"/>
          <w:sz w:val="20"/>
          <w:szCs w:val="20"/>
        </w:rPr>
      </w:pPr>
      <w:r w:rsidRPr="00DA2C4F">
        <w:rPr>
          <w:color w:val="4F6228" w:themeColor="accent3" w:themeShade="80"/>
          <w:sz w:val="20"/>
          <w:szCs w:val="20"/>
        </w:rPr>
        <w:t xml:space="preserve">      All staff </w:t>
      </w:r>
      <w:proofErr w:type="gramStart"/>
      <w:r w:rsidRPr="00DA2C4F">
        <w:rPr>
          <w:color w:val="4F6228" w:themeColor="accent3" w:themeShade="80"/>
          <w:sz w:val="20"/>
          <w:szCs w:val="20"/>
        </w:rPr>
        <w:t>have</w:t>
      </w:r>
      <w:proofErr w:type="gramEnd"/>
      <w:r w:rsidRPr="00DA2C4F">
        <w:rPr>
          <w:color w:val="4F6228" w:themeColor="accent3" w:themeShade="80"/>
          <w:sz w:val="20"/>
          <w:szCs w:val="20"/>
        </w:rPr>
        <w:t xml:space="preserve"> been briefed on the risks of HIV/AIDS and the universal precautions to avoid exposure.</w:t>
      </w:r>
    </w:p>
    <w:p w:rsidR="00DA2C4F" w:rsidRPr="00DA2C4F" w:rsidRDefault="00DA2C4F" w:rsidP="00DA2C4F">
      <w:pPr>
        <w:pStyle w:val="BodyText"/>
        <w:tabs>
          <w:tab w:val="left" w:pos="720"/>
        </w:tabs>
        <w:ind w:left="720"/>
        <w:rPr>
          <w:color w:val="4F6228" w:themeColor="accent3" w:themeShade="80"/>
          <w:sz w:val="20"/>
          <w:szCs w:val="20"/>
        </w:rPr>
      </w:pPr>
    </w:p>
    <w:p w:rsidR="00DA2C4F" w:rsidRPr="00DA2C4F" w:rsidRDefault="00DA2C4F" w:rsidP="00DA2C4F">
      <w:pPr>
        <w:pStyle w:val="BodyText"/>
        <w:tabs>
          <w:tab w:val="left" w:pos="720"/>
        </w:tabs>
        <w:rPr>
          <w:color w:val="4F6228" w:themeColor="accent3" w:themeShade="80"/>
          <w:sz w:val="20"/>
          <w:szCs w:val="20"/>
        </w:rPr>
      </w:pPr>
      <w:r w:rsidRPr="00DA2C4F">
        <w:rPr>
          <w:color w:val="4F6228" w:themeColor="accent3" w:themeShade="80"/>
          <w:sz w:val="20"/>
          <w:szCs w:val="20"/>
        </w:rPr>
        <w:t>12.</w:t>
      </w:r>
      <w:r w:rsidRPr="00DA2C4F">
        <w:rPr>
          <w:color w:val="4F6228" w:themeColor="accent3" w:themeShade="80"/>
          <w:sz w:val="20"/>
          <w:szCs w:val="20"/>
        </w:rPr>
        <w:tab/>
        <w:t xml:space="preserve">All staff </w:t>
      </w:r>
      <w:proofErr w:type="gramStart"/>
      <w:r w:rsidRPr="00DA2C4F">
        <w:rPr>
          <w:color w:val="4F6228" w:themeColor="accent3" w:themeShade="80"/>
          <w:sz w:val="20"/>
          <w:szCs w:val="20"/>
        </w:rPr>
        <w:t>have</w:t>
      </w:r>
      <w:proofErr w:type="gramEnd"/>
      <w:r w:rsidRPr="00DA2C4F">
        <w:rPr>
          <w:color w:val="4F6228" w:themeColor="accent3" w:themeShade="80"/>
          <w:sz w:val="20"/>
          <w:szCs w:val="20"/>
        </w:rPr>
        <w:t xml:space="preserve"> been issued with a pair of disposable latex gloves to be kept in the classroom.</w:t>
      </w:r>
    </w:p>
    <w:p w:rsidR="00DA2C4F" w:rsidRPr="00DA2C4F" w:rsidRDefault="00DA2C4F" w:rsidP="00DA2C4F">
      <w:pPr>
        <w:pStyle w:val="BodyText"/>
        <w:tabs>
          <w:tab w:val="left" w:pos="720"/>
        </w:tabs>
        <w:ind w:left="720"/>
        <w:rPr>
          <w:color w:val="4F6228" w:themeColor="accent3" w:themeShade="80"/>
          <w:sz w:val="20"/>
          <w:szCs w:val="20"/>
        </w:rPr>
      </w:pPr>
    </w:p>
    <w:p w:rsidR="00DA2C4F" w:rsidRPr="00DA2C4F" w:rsidRDefault="00DA2C4F" w:rsidP="00DA2C4F">
      <w:pPr>
        <w:pStyle w:val="BodyText"/>
        <w:tabs>
          <w:tab w:val="left" w:pos="720"/>
        </w:tabs>
        <w:ind w:left="720" w:hanging="720"/>
        <w:rPr>
          <w:color w:val="4F6228" w:themeColor="accent3" w:themeShade="80"/>
          <w:sz w:val="20"/>
          <w:szCs w:val="20"/>
        </w:rPr>
      </w:pPr>
      <w:r w:rsidRPr="00DA2C4F">
        <w:rPr>
          <w:color w:val="4F6228" w:themeColor="accent3" w:themeShade="80"/>
          <w:sz w:val="20"/>
          <w:szCs w:val="20"/>
        </w:rPr>
        <w:t>13.</w:t>
      </w:r>
      <w:r w:rsidRPr="00DA2C4F">
        <w:rPr>
          <w:color w:val="4F6228" w:themeColor="accent3" w:themeShade="80"/>
          <w:sz w:val="20"/>
          <w:szCs w:val="20"/>
        </w:rPr>
        <w:tab/>
        <w:t>Full first aid kits are available in the Sanatorium and a number of other venues.   These include the kitchen, the Estate Manager’s office, the Music secretary’s office, the Boarding Housemaster’s offices, the Pre-Prep receptionist’s office, the Prep receptionist’s office and the office of the Director of Sport in the College.  All kits contain disposable latex gloves, non-porous dressings or plaster and a suitable antiseptic.</w:t>
      </w:r>
    </w:p>
    <w:p w:rsidR="00DA2C4F" w:rsidRPr="00DA2C4F" w:rsidRDefault="00DA2C4F" w:rsidP="00DA2C4F">
      <w:pPr>
        <w:pStyle w:val="BodyText"/>
        <w:tabs>
          <w:tab w:val="left" w:pos="720"/>
        </w:tabs>
        <w:ind w:left="720"/>
        <w:rPr>
          <w:color w:val="4F6228" w:themeColor="accent3" w:themeShade="80"/>
          <w:sz w:val="20"/>
          <w:szCs w:val="20"/>
        </w:rPr>
      </w:pPr>
    </w:p>
    <w:p w:rsidR="00DA2C4F" w:rsidRPr="00DA2C4F" w:rsidRDefault="00DA2C4F" w:rsidP="00DA2C4F">
      <w:pPr>
        <w:pStyle w:val="BodyText"/>
        <w:ind w:left="720" w:hanging="720"/>
        <w:rPr>
          <w:color w:val="4F6228" w:themeColor="accent3" w:themeShade="80"/>
          <w:sz w:val="20"/>
          <w:szCs w:val="20"/>
        </w:rPr>
      </w:pPr>
      <w:r w:rsidRPr="00DA2C4F">
        <w:rPr>
          <w:color w:val="4F6228" w:themeColor="accent3" w:themeShade="80"/>
          <w:sz w:val="20"/>
          <w:szCs w:val="20"/>
        </w:rPr>
        <w:t>14.</w:t>
      </w:r>
      <w:r w:rsidRPr="00DA2C4F">
        <w:rPr>
          <w:color w:val="4F6228" w:themeColor="accent3" w:themeShade="80"/>
          <w:sz w:val="20"/>
          <w:szCs w:val="20"/>
        </w:rPr>
        <w:tab/>
        <w:t xml:space="preserve">It will be assumed that all persons are potentially infected and that all blood and body fluids should be treated as such.  All blood, open wounds, sores, breaks in the skin, grazes, open skin lesions, body fluids and excretions which could become contaminated should therefore be treated as potentially infectious. </w:t>
      </w:r>
    </w:p>
    <w:p w:rsidR="00DA2C4F" w:rsidRPr="00DA2C4F" w:rsidRDefault="00DA2C4F" w:rsidP="00DA2C4F">
      <w:pPr>
        <w:pStyle w:val="BodyText"/>
        <w:tabs>
          <w:tab w:val="left" w:pos="720"/>
        </w:tabs>
        <w:ind w:left="360"/>
        <w:rPr>
          <w:color w:val="4F6228" w:themeColor="accent3" w:themeShade="80"/>
          <w:sz w:val="20"/>
          <w:szCs w:val="20"/>
        </w:rPr>
      </w:pPr>
      <w:r w:rsidRPr="00DA2C4F">
        <w:rPr>
          <w:color w:val="4F6228" w:themeColor="accent3" w:themeShade="80"/>
          <w:sz w:val="20"/>
          <w:szCs w:val="20"/>
        </w:rPr>
        <w:tab/>
      </w:r>
      <w:r w:rsidRPr="00DA2C4F">
        <w:rPr>
          <w:color w:val="4F6228" w:themeColor="accent3" w:themeShade="80"/>
          <w:sz w:val="20"/>
          <w:szCs w:val="20"/>
        </w:rPr>
        <w:tab/>
      </w:r>
    </w:p>
    <w:p w:rsidR="00DA2C4F" w:rsidRPr="00DA2C4F" w:rsidRDefault="00DA2C4F" w:rsidP="00DA2C4F">
      <w:pPr>
        <w:pStyle w:val="BodyText"/>
        <w:rPr>
          <w:color w:val="4F6228" w:themeColor="accent3" w:themeShade="80"/>
          <w:sz w:val="20"/>
          <w:szCs w:val="20"/>
        </w:rPr>
      </w:pPr>
      <w:r w:rsidRPr="00DA2C4F">
        <w:rPr>
          <w:color w:val="4F6228" w:themeColor="accent3" w:themeShade="80"/>
          <w:sz w:val="20"/>
          <w:szCs w:val="20"/>
        </w:rPr>
        <w:t>15.</w:t>
      </w:r>
      <w:r w:rsidRPr="00DA2C4F">
        <w:rPr>
          <w:color w:val="4F6228" w:themeColor="accent3" w:themeShade="80"/>
          <w:sz w:val="20"/>
          <w:szCs w:val="20"/>
        </w:rPr>
        <w:tab/>
        <w:t>Blood, especially in large spills such as nosebleeds, should be handled with extreme caution.</w:t>
      </w:r>
    </w:p>
    <w:p w:rsidR="00DA2C4F" w:rsidRPr="00DA2C4F" w:rsidRDefault="00DA2C4F" w:rsidP="00DA2C4F">
      <w:pPr>
        <w:pStyle w:val="BodyText"/>
        <w:tabs>
          <w:tab w:val="left" w:pos="720"/>
        </w:tabs>
        <w:rPr>
          <w:color w:val="4F6228" w:themeColor="accent3" w:themeShade="80"/>
          <w:sz w:val="20"/>
          <w:szCs w:val="20"/>
        </w:rPr>
      </w:pPr>
    </w:p>
    <w:p w:rsidR="00DA2C4F" w:rsidRPr="00DA2C4F" w:rsidRDefault="00DA2C4F" w:rsidP="00DA2C4F">
      <w:pPr>
        <w:pStyle w:val="BodyText"/>
        <w:numPr>
          <w:ilvl w:val="0"/>
          <w:numId w:val="1"/>
        </w:numPr>
        <w:rPr>
          <w:color w:val="4F6228" w:themeColor="accent3" w:themeShade="80"/>
          <w:sz w:val="20"/>
          <w:szCs w:val="20"/>
        </w:rPr>
      </w:pPr>
      <w:r w:rsidRPr="00DA2C4F">
        <w:rPr>
          <w:color w:val="4F6228" w:themeColor="accent3" w:themeShade="80"/>
          <w:sz w:val="20"/>
          <w:szCs w:val="20"/>
        </w:rPr>
        <w:t>Skin accidentally exposed to blood should be cleaned promptly with water and disinfectant.</w:t>
      </w:r>
    </w:p>
    <w:p w:rsidR="00DA2C4F" w:rsidRPr="00DA2C4F" w:rsidRDefault="00DA2C4F" w:rsidP="00DA2C4F">
      <w:pPr>
        <w:pStyle w:val="BodyText"/>
        <w:tabs>
          <w:tab w:val="left" w:pos="720"/>
        </w:tabs>
        <w:rPr>
          <w:color w:val="4F6228" w:themeColor="accent3" w:themeShade="80"/>
          <w:sz w:val="20"/>
          <w:szCs w:val="20"/>
        </w:rPr>
      </w:pPr>
    </w:p>
    <w:p w:rsidR="00DA2C4F" w:rsidRPr="00DA2C4F" w:rsidRDefault="00DA2C4F" w:rsidP="00DA2C4F">
      <w:pPr>
        <w:pStyle w:val="BodyText"/>
        <w:numPr>
          <w:ilvl w:val="0"/>
          <w:numId w:val="1"/>
        </w:numPr>
        <w:rPr>
          <w:color w:val="4F6228" w:themeColor="accent3" w:themeShade="80"/>
          <w:sz w:val="20"/>
          <w:szCs w:val="20"/>
        </w:rPr>
      </w:pPr>
      <w:r w:rsidRPr="00DA2C4F">
        <w:rPr>
          <w:color w:val="4F6228" w:themeColor="accent3" w:themeShade="80"/>
          <w:sz w:val="20"/>
          <w:szCs w:val="20"/>
        </w:rPr>
        <w:t xml:space="preserve">All bleeding wounds must be cleaned with a suitable antiseptic (e.g. Hypochlorite 2% </w:t>
      </w:r>
      <w:proofErr w:type="spellStart"/>
      <w:r w:rsidRPr="00DA2C4F">
        <w:rPr>
          <w:color w:val="4F6228" w:themeColor="accent3" w:themeShade="80"/>
          <w:sz w:val="20"/>
          <w:szCs w:val="20"/>
        </w:rPr>
        <w:t>gluteraldehyde</w:t>
      </w:r>
      <w:proofErr w:type="spellEnd"/>
      <w:r w:rsidRPr="00DA2C4F">
        <w:rPr>
          <w:color w:val="4F6228" w:themeColor="accent3" w:themeShade="80"/>
          <w:sz w:val="20"/>
          <w:szCs w:val="20"/>
        </w:rPr>
        <w:t xml:space="preserve"> organic </w:t>
      </w:r>
      <w:proofErr w:type="spellStart"/>
      <w:r w:rsidRPr="00DA2C4F">
        <w:rPr>
          <w:color w:val="4F6228" w:themeColor="accent3" w:themeShade="80"/>
          <w:sz w:val="20"/>
          <w:szCs w:val="20"/>
        </w:rPr>
        <w:t>iodines</w:t>
      </w:r>
      <w:proofErr w:type="spellEnd"/>
      <w:r w:rsidRPr="00DA2C4F">
        <w:rPr>
          <w:color w:val="4F6228" w:themeColor="accent3" w:themeShade="80"/>
          <w:sz w:val="20"/>
          <w:szCs w:val="20"/>
        </w:rPr>
        <w:t xml:space="preserve"> or 70% alcohol-ethyl alcohol)</w:t>
      </w:r>
    </w:p>
    <w:p w:rsidR="00DA2C4F" w:rsidRPr="00DA2C4F" w:rsidRDefault="00DA2C4F" w:rsidP="00DA2C4F">
      <w:pPr>
        <w:pStyle w:val="BodyText"/>
        <w:tabs>
          <w:tab w:val="left" w:pos="720"/>
        </w:tabs>
        <w:ind w:left="360"/>
        <w:rPr>
          <w:color w:val="4F6228" w:themeColor="accent3" w:themeShade="80"/>
          <w:sz w:val="20"/>
          <w:szCs w:val="20"/>
        </w:rPr>
      </w:pPr>
    </w:p>
    <w:p w:rsidR="00DA2C4F" w:rsidRPr="00DA2C4F" w:rsidRDefault="00DA2C4F" w:rsidP="00DA2C4F">
      <w:pPr>
        <w:pStyle w:val="BodyText"/>
        <w:numPr>
          <w:ilvl w:val="0"/>
          <w:numId w:val="1"/>
        </w:numPr>
        <w:rPr>
          <w:color w:val="4F6228" w:themeColor="accent3" w:themeShade="80"/>
          <w:sz w:val="20"/>
          <w:szCs w:val="20"/>
        </w:rPr>
      </w:pPr>
      <w:r w:rsidRPr="00DA2C4F">
        <w:rPr>
          <w:color w:val="4F6228" w:themeColor="accent3" w:themeShade="80"/>
          <w:sz w:val="20"/>
          <w:szCs w:val="20"/>
        </w:rPr>
        <w:t>All bleeding wounds must be covered with a non-porous dressing or plaster.</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numPr>
          <w:ilvl w:val="0"/>
          <w:numId w:val="1"/>
        </w:numPr>
        <w:rPr>
          <w:color w:val="4F6228" w:themeColor="accent3" w:themeShade="80"/>
          <w:sz w:val="20"/>
          <w:szCs w:val="20"/>
        </w:rPr>
      </w:pPr>
      <w:r w:rsidRPr="00DA2C4F">
        <w:rPr>
          <w:color w:val="4F6228" w:themeColor="accent3" w:themeShade="80"/>
          <w:sz w:val="20"/>
          <w:szCs w:val="20"/>
        </w:rPr>
        <w:t>Blood splashes to the face should be flushed with running water for at least 3 minutes.</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numPr>
          <w:ilvl w:val="0"/>
          <w:numId w:val="1"/>
        </w:numPr>
        <w:rPr>
          <w:color w:val="4F6228" w:themeColor="accent3" w:themeShade="80"/>
          <w:sz w:val="20"/>
          <w:szCs w:val="20"/>
        </w:rPr>
      </w:pPr>
      <w:r w:rsidRPr="00DA2C4F">
        <w:rPr>
          <w:color w:val="4F6228" w:themeColor="accent3" w:themeShade="80"/>
          <w:sz w:val="20"/>
          <w:szCs w:val="20"/>
        </w:rPr>
        <w:t>If blood has contaminated a surface, the surface should be cleaned with a bleach solution.  Latex gloves must be worn during this process.  All contaminated instruments should be soaked in a strong bleach solution for at least 1 hour before re-use.</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numPr>
          <w:ilvl w:val="0"/>
          <w:numId w:val="1"/>
        </w:numPr>
        <w:rPr>
          <w:color w:val="4F6228" w:themeColor="accent3" w:themeShade="80"/>
          <w:sz w:val="20"/>
          <w:szCs w:val="20"/>
        </w:rPr>
      </w:pPr>
      <w:r w:rsidRPr="00DA2C4F">
        <w:rPr>
          <w:color w:val="4F6228" w:themeColor="accent3" w:themeShade="80"/>
          <w:sz w:val="20"/>
          <w:szCs w:val="20"/>
        </w:rPr>
        <w:t>The risk of HIV transmission as a result of contact sport is generally insignificant.</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numPr>
          <w:ilvl w:val="0"/>
          <w:numId w:val="1"/>
        </w:numPr>
        <w:rPr>
          <w:color w:val="4F6228" w:themeColor="accent3" w:themeShade="80"/>
          <w:sz w:val="20"/>
          <w:szCs w:val="20"/>
        </w:rPr>
      </w:pPr>
      <w:r w:rsidRPr="00DA2C4F">
        <w:rPr>
          <w:color w:val="4F6228" w:themeColor="accent3" w:themeShade="80"/>
          <w:sz w:val="20"/>
          <w:szCs w:val="20"/>
        </w:rPr>
        <w:t>A learner who is aware that his/her HIV/AIDS status is positive should willingly make himself/herself unavailable for that sport.</w:t>
      </w:r>
    </w:p>
    <w:p w:rsidR="00DA2C4F" w:rsidRPr="00DA2C4F" w:rsidRDefault="00DA2C4F" w:rsidP="00DA2C4F">
      <w:pPr>
        <w:pStyle w:val="BodyText"/>
        <w:rPr>
          <w:color w:val="4F6228" w:themeColor="accent3" w:themeShade="80"/>
          <w:sz w:val="20"/>
          <w:szCs w:val="20"/>
        </w:rPr>
      </w:pPr>
    </w:p>
    <w:p w:rsidR="00DA2C4F" w:rsidRPr="00DA2C4F" w:rsidRDefault="00DA2C4F" w:rsidP="00DA2C4F">
      <w:pPr>
        <w:pStyle w:val="BodyText"/>
        <w:numPr>
          <w:ilvl w:val="1"/>
          <w:numId w:val="1"/>
        </w:numPr>
        <w:rPr>
          <w:color w:val="4F6228" w:themeColor="accent3" w:themeShade="80"/>
          <w:sz w:val="20"/>
          <w:szCs w:val="20"/>
        </w:rPr>
      </w:pPr>
      <w:r w:rsidRPr="00DA2C4F">
        <w:rPr>
          <w:color w:val="4F6228" w:themeColor="accent3" w:themeShade="80"/>
          <w:sz w:val="20"/>
          <w:szCs w:val="20"/>
        </w:rPr>
        <w:t>Learner who is injured on the playing field, where the surface of the skin is broken and blood is present, must leave the field immediately for attention.</w:t>
      </w:r>
    </w:p>
    <w:p w:rsidR="00DA2C4F" w:rsidRPr="00DA2C4F" w:rsidRDefault="00DA2C4F" w:rsidP="00DA2C4F">
      <w:pPr>
        <w:pStyle w:val="BodyText"/>
        <w:numPr>
          <w:ilvl w:val="1"/>
          <w:numId w:val="1"/>
        </w:numPr>
        <w:rPr>
          <w:color w:val="4F6228" w:themeColor="accent3" w:themeShade="80"/>
          <w:sz w:val="20"/>
          <w:szCs w:val="20"/>
        </w:rPr>
      </w:pPr>
      <w:r w:rsidRPr="00DA2C4F">
        <w:rPr>
          <w:color w:val="4F6228" w:themeColor="accent3" w:themeShade="80"/>
          <w:sz w:val="20"/>
          <w:szCs w:val="20"/>
        </w:rPr>
        <w:t>All sports coaches will be given the appropriate information on HIV transmission as well as the application of universal precautions.</w:t>
      </w:r>
    </w:p>
    <w:p w:rsidR="00DA2C4F" w:rsidRPr="00DA2C4F" w:rsidRDefault="00DA2C4F" w:rsidP="00DA2C4F">
      <w:pPr>
        <w:pStyle w:val="BodyText"/>
        <w:numPr>
          <w:ilvl w:val="1"/>
          <w:numId w:val="1"/>
        </w:numPr>
        <w:rPr>
          <w:color w:val="4F6228" w:themeColor="accent3" w:themeShade="80"/>
          <w:sz w:val="20"/>
          <w:szCs w:val="20"/>
        </w:rPr>
      </w:pPr>
      <w:r w:rsidRPr="00DA2C4F">
        <w:rPr>
          <w:color w:val="4F6228" w:themeColor="accent3" w:themeShade="80"/>
          <w:sz w:val="20"/>
          <w:szCs w:val="20"/>
        </w:rPr>
        <w:t>No learner may participate in contact sport with an open wound, sore, break in the skin, graze or open lesion.</w:t>
      </w:r>
    </w:p>
    <w:p w:rsidR="00DA2C4F" w:rsidRPr="00DA2C4F" w:rsidRDefault="00DA2C4F" w:rsidP="00DA2C4F">
      <w:pPr>
        <w:pStyle w:val="BodyText"/>
        <w:numPr>
          <w:ilvl w:val="1"/>
          <w:numId w:val="1"/>
        </w:numPr>
        <w:rPr>
          <w:color w:val="4F6228" w:themeColor="accent3" w:themeShade="80"/>
          <w:sz w:val="20"/>
          <w:szCs w:val="20"/>
        </w:rPr>
      </w:pPr>
      <w:r w:rsidRPr="00DA2C4F">
        <w:rPr>
          <w:color w:val="4F6228" w:themeColor="accent3" w:themeShade="80"/>
          <w:sz w:val="20"/>
          <w:szCs w:val="20"/>
        </w:rPr>
        <w:t>Soiled clothes must be changed.</w:t>
      </w:r>
    </w:p>
    <w:p w:rsidR="00DA2C4F" w:rsidRPr="00DA2C4F" w:rsidRDefault="00DA2C4F" w:rsidP="00DA2C4F">
      <w:pPr>
        <w:pStyle w:val="BodyText"/>
        <w:numPr>
          <w:ilvl w:val="1"/>
          <w:numId w:val="1"/>
        </w:numPr>
        <w:rPr>
          <w:color w:val="4F6228" w:themeColor="accent3" w:themeShade="80"/>
          <w:sz w:val="20"/>
          <w:szCs w:val="20"/>
        </w:rPr>
      </w:pPr>
      <w:r w:rsidRPr="00DA2C4F">
        <w:rPr>
          <w:color w:val="4F6228" w:themeColor="accent3" w:themeShade="80"/>
          <w:sz w:val="20"/>
          <w:szCs w:val="20"/>
        </w:rPr>
        <w:t>Counseling for learners, educators, non-teaching members of staff and general workers will be sought.</w:t>
      </w:r>
    </w:p>
    <w:p w:rsidR="00DA2C4F" w:rsidRPr="00DA2C4F" w:rsidRDefault="00DA2C4F" w:rsidP="00DA2C4F">
      <w:pPr>
        <w:rPr>
          <w:color w:val="4F6228" w:themeColor="accent3" w:themeShade="80"/>
        </w:rPr>
      </w:pPr>
      <w:r w:rsidRPr="00DA2C4F">
        <w:rPr>
          <w:color w:val="4F6228" w:themeColor="accent3" w:themeShade="80"/>
        </w:rPr>
        <w:br w:type="page"/>
      </w:r>
    </w:p>
    <w:p w:rsidR="00DA2C4F" w:rsidRPr="00DA2C4F" w:rsidRDefault="00DA2C4F" w:rsidP="00DA2C4F">
      <w:pPr>
        <w:pStyle w:val="BodyText"/>
        <w:rPr>
          <w:color w:val="4F6228" w:themeColor="accent3" w:themeShade="80"/>
          <w:sz w:val="20"/>
          <w:szCs w:val="20"/>
        </w:rPr>
      </w:pPr>
    </w:p>
    <w:p w:rsidR="00DA2C4F" w:rsidRPr="00DA2C4F" w:rsidRDefault="00DA2C4F" w:rsidP="00DA2C4F">
      <w:pPr>
        <w:jc w:val="both"/>
        <w:rPr>
          <w:rFonts w:ascii="Arial" w:hAnsi="Arial" w:cs="Arial"/>
          <w:b/>
          <w:color w:val="4F6228" w:themeColor="accent3" w:themeShade="80"/>
          <w:sz w:val="20"/>
          <w:szCs w:val="20"/>
        </w:rPr>
      </w:pPr>
      <w:r w:rsidRPr="00DA2C4F">
        <w:rPr>
          <w:rFonts w:ascii="Arial" w:hAnsi="Arial" w:cs="Arial"/>
          <w:b/>
          <w:color w:val="4F6228" w:themeColor="accent3" w:themeShade="80"/>
          <w:sz w:val="20"/>
          <w:szCs w:val="20"/>
        </w:rPr>
        <w:t>70.</w:t>
      </w:r>
      <w:r w:rsidRPr="00DA2C4F">
        <w:rPr>
          <w:rFonts w:ascii="Arial" w:hAnsi="Arial" w:cs="Arial"/>
          <w:b/>
          <w:color w:val="4F6228" w:themeColor="accent3" w:themeShade="80"/>
          <w:sz w:val="20"/>
          <w:szCs w:val="20"/>
        </w:rPr>
        <w:tab/>
        <w:t>Code of Professional Ethics</w:t>
      </w:r>
    </w:p>
    <w:p w:rsidR="00DA2C4F" w:rsidRPr="00DA2C4F" w:rsidRDefault="00DA2C4F" w:rsidP="00DA2C4F">
      <w:pPr>
        <w:jc w:val="center"/>
        <w:rPr>
          <w:rFonts w:cs="Arial"/>
          <w:color w:val="4F6228" w:themeColor="accent3" w:themeShade="80"/>
          <w:sz w:val="20"/>
          <w:szCs w:val="20"/>
        </w:rPr>
      </w:pPr>
      <w:r w:rsidRPr="00DA2C4F">
        <w:rPr>
          <w:rFonts w:cs="Arial"/>
          <w:color w:val="4F6228" w:themeColor="accent3" w:themeShade="80"/>
          <w:sz w:val="20"/>
          <w:szCs w:val="20"/>
        </w:rPr>
        <w:t>___________________________________________________________________</w:t>
      </w:r>
    </w:p>
    <w:p w:rsidR="00DA2C4F" w:rsidRPr="00DA2C4F" w:rsidRDefault="00DA2C4F" w:rsidP="00DA2C4F">
      <w:pPr>
        <w:jc w:val="center"/>
        <w:rPr>
          <w:rFonts w:cs="Arial"/>
          <w:b/>
          <w:color w:val="4F6228" w:themeColor="accent3" w:themeShade="80"/>
          <w:sz w:val="20"/>
          <w:szCs w:val="20"/>
        </w:rPr>
      </w:pPr>
    </w:p>
    <w:p w:rsidR="00DA2C4F" w:rsidRPr="00DA2C4F" w:rsidRDefault="00DA2C4F" w:rsidP="00DA2C4F">
      <w:pPr>
        <w:jc w:val="center"/>
        <w:rPr>
          <w:rFonts w:cs="Arial"/>
          <w:b/>
          <w:color w:val="4F6228" w:themeColor="accent3" w:themeShade="80"/>
          <w:sz w:val="20"/>
          <w:szCs w:val="20"/>
        </w:rPr>
      </w:pPr>
      <w:r w:rsidRPr="00DA2C4F">
        <w:rPr>
          <w:rFonts w:cs="Arial"/>
          <w:b/>
          <w:color w:val="4F6228" w:themeColor="accent3" w:themeShade="80"/>
          <w:sz w:val="20"/>
          <w:szCs w:val="20"/>
        </w:rPr>
        <w:t>SOUTH AFRICAN COUNCIL FOR EDUCATORS</w:t>
      </w:r>
    </w:p>
    <w:p w:rsidR="00DA2C4F" w:rsidRPr="00DA2C4F" w:rsidRDefault="00DA2C4F" w:rsidP="00DA2C4F">
      <w:pPr>
        <w:jc w:val="center"/>
        <w:rPr>
          <w:rFonts w:cs="Arial"/>
          <w:b/>
          <w:color w:val="4F6228" w:themeColor="accent3" w:themeShade="80"/>
          <w:sz w:val="20"/>
          <w:szCs w:val="20"/>
        </w:rPr>
      </w:pPr>
    </w:p>
    <w:p w:rsidR="00DA2C4F" w:rsidRPr="00DA2C4F" w:rsidRDefault="00DA2C4F" w:rsidP="00DA2C4F">
      <w:pPr>
        <w:jc w:val="center"/>
        <w:rPr>
          <w:rFonts w:cs="Arial"/>
          <w:b/>
          <w:color w:val="4F6228" w:themeColor="accent3" w:themeShade="80"/>
          <w:sz w:val="20"/>
          <w:szCs w:val="20"/>
        </w:rPr>
      </w:pPr>
      <w:r w:rsidRPr="00DA2C4F">
        <w:rPr>
          <w:rFonts w:cs="Arial"/>
          <w:b/>
          <w:color w:val="4F6228" w:themeColor="accent3" w:themeShade="80"/>
          <w:sz w:val="20"/>
          <w:szCs w:val="20"/>
        </w:rPr>
        <w:t>CODE OF PROFESSIONAL ETHICS</w:t>
      </w:r>
    </w:p>
    <w:p w:rsidR="00DA2C4F" w:rsidRPr="00DA2C4F" w:rsidRDefault="00DA2C4F" w:rsidP="00DA2C4F">
      <w:pPr>
        <w:jc w:val="center"/>
        <w:rPr>
          <w:rFonts w:cs="Arial"/>
          <w:color w:val="4F6228" w:themeColor="accent3" w:themeShade="80"/>
          <w:sz w:val="20"/>
          <w:szCs w:val="20"/>
        </w:rPr>
      </w:pPr>
      <w:r w:rsidRPr="00DA2C4F">
        <w:rPr>
          <w:rFonts w:cs="Arial"/>
          <w:color w:val="4F6228" w:themeColor="accent3" w:themeShade="80"/>
          <w:sz w:val="20"/>
          <w:szCs w:val="20"/>
        </w:rPr>
        <w:t>___________________________________________________________________</w:t>
      </w:r>
    </w:p>
    <w:p w:rsidR="00DA2C4F" w:rsidRPr="00DA2C4F" w:rsidRDefault="00DA2C4F" w:rsidP="00DA2C4F">
      <w:pPr>
        <w:jc w:val="center"/>
        <w:rPr>
          <w:rFonts w:cs="Arial"/>
          <w:color w:val="4F6228" w:themeColor="accent3" w:themeShade="80"/>
          <w:sz w:val="20"/>
          <w:szCs w:val="20"/>
        </w:rPr>
      </w:pPr>
    </w:p>
    <w:p w:rsidR="00DA2C4F" w:rsidRPr="00DA2C4F" w:rsidRDefault="00DA2C4F" w:rsidP="00DA2C4F">
      <w:pPr>
        <w:pStyle w:val="BodyText"/>
        <w:jc w:val="center"/>
        <w:rPr>
          <w:b/>
          <w:color w:val="4F6228" w:themeColor="accent3" w:themeShade="80"/>
          <w:sz w:val="20"/>
          <w:szCs w:val="20"/>
        </w:rPr>
      </w:pPr>
      <w:r w:rsidRPr="00DA2C4F">
        <w:rPr>
          <w:b/>
          <w:color w:val="4F6228" w:themeColor="accent3" w:themeShade="80"/>
          <w:sz w:val="20"/>
          <w:szCs w:val="20"/>
        </w:rPr>
        <w:t>DEFINITIONS</w:t>
      </w:r>
    </w:p>
    <w:p w:rsidR="00DA2C4F" w:rsidRPr="00DA2C4F" w:rsidRDefault="00DA2C4F" w:rsidP="00DA2C4F">
      <w:pPr>
        <w:pStyle w:val="List1"/>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In this Code, unless the context indicates otherwise any word or phrase defined in the South African Council for Educators Act, 2000 has that meaning and:</w:t>
      </w:r>
    </w:p>
    <w:p w:rsidR="00DA2C4F" w:rsidRPr="00DA2C4F" w:rsidRDefault="00DA2C4F" w:rsidP="00DA2C4F">
      <w:pPr>
        <w:pStyle w:val="List1"/>
        <w:numPr>
          <w:ilvl w:val="0"/>
          <w:numId w:val="5"/>
        </w:numPr>
        <w:tabs>
          <w:tab w:val="num" w:pos="936"/>
        </w:tabs>
        <w:ind w:left="936"/>
        <w:rPr>
          <w:rFonts w:cs="Arial"/>
          <w:color w:val="4F6228" w:themeColor="accent3" w:themeShade="80"/>
          <w:sz w:val="20"/>
        </w:rPr>
      </w:pPr>
      <w:r w:rsidRPr="00DA2C4F">
        <w:rPr>
          <w:rFonts w:cs="Arial"/>
          <w:color w:val="4F6228" w:themeColor="accent3" w:themeShade="80"/>
          <w:sz w:val="20"/>
        </w:rPr>
        <w:t>‘</w:t>
      </w:r>
      <w:r w:rsidRPr="00DA2C4F">
        <w:rPr>
          <w:rFonts w:cs="Arial"/>
          <w:b/>
          <w:color w:val="4F6228" w:themeColor="accent3" w:themeShade="80"/>
          <w:sz w:val="20"/>
        </w:rPr>
        <w:t>Code</w:t>
      </w:r>
      <w:r w:rsidRPr="00DA2C4F">
        <w:rPr>
          <w:rFonts w:cs="Arial"/>
          <w:color w:val="4F6228" w:themeColor="accent3" w:themeShade="80"/>
          <w:sz w:val="20"/>
        </w:rPr>
        <w:t>’ means the Code of Professional Ethics of the South African Council for Educators;</w:t>
      </w:r>
    </w:p>
    <w:p w:rsidR="00DA2C4F" w:rsidRPr="00DA2C4F" w:rsidRDefault="00DA2C4F" w:rsidP="00DA2C4F">
      <w:pPr>
        <w:pStyle w:val="List1"/>
        <w:numPr>
          <w:ilvl w:val="0"/>
          <w:numId w:val="5"/>
        </w:numPr>
        <w:tabs>
          <w:tab w:val="num" w:pos="927"/>
        </w:tabs>
        <w:ind w:left="936"/>
        <w:rPr>
          <w:rFonts w:cs="Arial"/>
          <w:color w:val="4F6228" w:themeColor="accent3" w:themeShade="80"/>
          <w:sz w:val="20"/>
        </w:rPr>
      </w:pPr>
      <w:r w:rsidRPr="00DA2C4F">
        <w:rPr>
          <w:rFonts w:cs="Arial"/>
          <w:color w:val="4F6228" w:themeColor="accent3" w:themeShade="80"/>
          <w:sz w:val="20"/>
        </w:rPr>
        <w:t>‘</w:t>
      </w:r>
      <w:r w:rsidRPr="00DA2C4F">
        <w:rPr>
          <w:rFonts w:cs="Arial"/>
          <w:b/>
          <w:color w:val="4F6228" w:themeColor="accent3" w:themeShade="80"/>
          <w:sz w:val="20"/>
        </w:rPr>
        <w:t>Council</w:t>
      </w:r>
      <w:r w:rsidRPr="00DA2C4F">
        <w:rPr>
          <w:rFonts w:cs="Arial"/>
          <w:color w:val="4F6228" w:themeColor="accent3" w:themeShade="80"/>
          <w:sz w:val="20"/>
        </w:rPr>
        <w:t>’ means the South African Council for Educators;</w:t>
      </w:r>
    </w:p>
    <w:p w:rsidR="00DA2C4F" w:rsidRPr="00DA2C4F" w:rsidRDefault="00DA2C4F" w:rsidP="00DA2C4F">
      <w:pPr>
        <w:pStyle w:val="List1"/>
        <w:numPr>
          <w:ilvl w:val="0"/>
          <w:numId w:val="5"/>
        </w:numPr>
        <w:tabs>
          <w:tab w:val="num" w:pos="927"/>
        </w:tabs>
        <w:ind w:left="936"/>
        <w:rPr>
          <w:rFonts w:cs="Arial"/>
          <w:color w:val="4F6228" w:themeColor="accent3" w:themeShade="80"/>
          <w:sz w:val="20"/>
        </w:rPr>
      </w:pPr>
      <w:r w:rsidRPr="00DA2C4F">
        <w:rPr>
          <w:rFonts w:cs="Arial"/>
          <w:b/>
          <w:bCs/>
          <w:color w:val="4F6228" w:themeColor="accent3" w:themeShade="80"/>
          <w:sz w:val="20"/>
        </w:rPr>
        <w:t xml:space="preserve">‘Educator’ </w:t>
      </w:r>
      <w:r w:rsidRPr="00DA2C4F">
        <w:rPr>
          <w:rFonts w:cs="Arial"/>
          <w:color w:val="4F6228" w:themeColor="accent3" w:themeShade="80"/>
          <w:sz w:val="20"/>
        </w:rPr>
        <w:t>means any educator registered or provisionally registered with the Council;</w:t>
      </w:r>
    </w:p>
    <w:p w:rsidR="00DA2C4F" w:rsidRPr="00DA2C4F" w:rsidRDefault="00DA2C4F" w:rsidP="00DA2C4F">
      <w:pPr>
        <w:pStyle w:val="List1"/>
        <w:numPr>
          <w:ilvl w:val="0"/>
          <w:numId w:val="5"/>
        </w:numPr>
        <w:tabs>
          <w:tab w:val="num" w:pos="927"/>
        </w:tabs>
        <w:ind w:left="936"/>
        <w:rPr>
          <w:rFonts w:cs="Arial"/>
          <w:color w:val="4F6228" w:themeColor="accent3" w:themeShade="80"/>
          <w:sz w:val="20"/>
        </w:rPr>
      </w:pPr>
      <w:r w:rsidRPr="00DA2C4F">
        <w:rPr>
          <w:rFonts w:cs="Arial"/>
          <w:b/>
          <w:bCs/>
          <w:i/>
          <w:iCs/>
          <w:color w:val="4F6228" w:themeColor="accent3" w:themeShade="80"/>
          <w:sz w:val="20"/>
        </w:rPr>
        <w:t>‘</w:t>
      </w:r>
      <w:r w:rsidRPr="00DA2C4F">
        <w:rPr>
          <w:rFonts w:cs="Arial"/>
          <w:b/>
          <w:bCs/>
          <w:color w:val="4F6228" w:themeColor="accent3" w:themeShade="80"/>
          <w:sz w:val="20"/>
        </w:rPr>
        <w:t>Learner’</w:t>
      </w:r>
      <w:r w:rsidRPr="00DA2C4F">
        <w:rPr>
          <w:rFonts w:cs="Arial"/>
          <w:color w:val="4F6228" w:themeColor="accent3" w:themeShade="80"/>
          <w:sz w:val="20"/>
        </w:rPr>
        <w:t xml:space="preserve"> means a pupil or a student at any early learning site, school, further education and training institution or adult learning centre;</w:t>
      </w:r>
    </w:p>
    <w:p w:rsidR="00DA2C4F" w:rsidRPr="00DA2C4F" w:rsidRDefault="00DA2C4F" w:rsidP="00DA2C4F">
      <w:pPr>
        <w:pStyle w:val="List1"/>
        <w:numPr>
          <w:ilvl w:val="0"/>
          <w:numId w:val="5"/>
        </w:numPr>
        <w:tabs>
          <w:tab w:val="num" w:pos="927"/>
        </w:tabs>
        <w:ind w:left="936"/>
        <w:rPr>
          <w:rFonts w:cs="Arial"/>
          <w:color w:val="4F6228" w:themeColor="accent3" w:themeShade="80"/>
          <w:sz w:val="20"/>
        </w:rPr>
      </w:pPr>
      <w:r w:rsidRPr="00DA2C4F">
        <w:rPr>
          <w:rFonts w:cs="Arial"/>
          <w:b/>
          <w:bCs/>
          <w:i/>
          <w:iCs/>
          <w:color w:val="4F6228" w:themeColor="accent3" w:themeShade="80"/>
          <w:sz w:val="20"/>
        </w:rPr>
        <w:t xml:space="preserve"> </w:t>
      </w:r>
      <w:r w:rsidRPr="00DA2C4F">
        <w:rPr>
          <w:rFonts w:cs="Arial"/>
          <w:b/>
          <w:bCs/>
          <w:color w:val="4F6228" w:themeColor="accent3" w:themeShade="80"/>
          <w:sz w:val="20"/>
        </w:rPr>
        <w:t>‘Parent’</w:t>
      </w:r>
      <w:r w:rsidRPr="00DA2C4F">
        <w:rPr>
          <w:rFonts w:cs="Arial"/>
          <w:color w:val="4F6228" w:themeColor="accent3" w:themeShade="80"/>
          <w:sz w:val="20"/>
        </w:rPr>
        <w:t xml:space="preserve"> means:</w:t>
      </w:r>
    </w:p>
    <w:p w:rsidR="00DA2C4F" w:rsidRPr="00DA2C4F" w:rsidRDefault="00DA2C4F" w:rsidP="00DA2C4F">
      <w:pPr>
        <w:pStyle w:val="List1"/>
        <w:numPr>
          <w:ilvl w:val="0"/>
          <w:numId w:val="4"/>
        </w:numPr>
        <w:tabs>
          <w:tab w:val="num" w:pos="1551"/>
        </w:tabs>
        <w:ind w:left="1551"/>
        <w:rPr>
          <w:rFonts w:cs="Arial"/>
          <w:color w:val="4F6228" w:themeColor="accent3" w:themeShade="80"/>
          <w:sz w:val="20"/>
        </w:rPr>
      </w:pPr>
      <w:bookmarkStart w:id="0" w:name="_Ref496513055"/>
      <w:proofErr w:type="gramStart"/>
      <w:r w:rsidRPr="00DA2C4F">
        <w:rPr>
          <w:rFonts w:cs="Arial"/>
          <w:color w:val="4F6228" w:themeColor="accent3" w:themeShade="80"/>
          <w:sz w:val="20"/>
        </w:rPr>
        <w:t>any</w:t>
      </w:r>
      <w:proofErr w:type="gramEnd"/>
      <w:r w:rsidRPr="00DA2C4F">
        <w:rPr>
          <w:rFonts w:cs="Arial"/>
          <w:color w:val="4F6228" w:themeColor="accent3" w:themeShade="80"/>
          <w:sz w:val="20"/>
        </w:rPr>
        <w:t xml:space="preserve"> natural parent or guardian of a learner;</w:t>
      </w:r>
      <w:bookmarkEnd w:id="0"/>
    </w:p>
    <w:p w:rsidR="00DA2C4F" w:rsidRPr="00DA2C4F" w:rsidRDefault="00DA2C4F" w:rsidP="00DA2C4F">
      <w:pPr>
        <w:pStyle w:val="List1"/>
        <w:numPr>
          <w:ilvl w:val="0"/>
          <w:numId w:val="4"/>
        </w:numPr>
        <w:tabs>
          <w:tab w:val="num" w:pos="1551"/>
        </w:tabs>
        <w:ind w:left="1551"/>
        <w:rPr>
          <w:rFonts w:cs="Arial"/>
          <w:color w:val="4F6228" w:themeColor="accent3" w:themeShade="80"/>
          <w:sz w:val="20"/>
        </w:rPr>
      </w:pPr>
      <w:bookmarkStart w:id="1" w:name="_Ref496513061"/>
      <w:proofErr w:type="gramStart"/>
      <w:r w:rsidRPr="00DA2C4F">
        <w:rPr>
          <w:rFonts w:cs="Arial"/>
          <w:color w:val="4F6228" w:themeColor="accent3" w:themeShade="80"/>
          <w:sz w:val="20"/>
        </w:rPr>
        <w:t>any</w:t>
      </w:r>
      <w:proofErr w:type="gramEnd"/>
      <w:r w:rsidRPr="00DA2C4F">
        <w:rPr>
          <w:rFonts w:cs="Arial"/>
          <w:color w:val="4F6228" w:themeColor="accent3" w:themeShade="80"/>
          <w:sz w:val="20"/>
        </w:rPr>
        <w:t xml:space="preserve"> person legally entitled to custody of a learner; </w:t>
      </w:r>
      <w:bookmarkEnd w:id="1"/>
      <w:r w:rsidRPr="00DA2C4F">
        <w:rPr>
          <w:rFonts w:cs="Arial"/>
          <w:color w:val="4F6228" w:themeColor="accent3" w:themeShade="80"/>
          <w:sz w:val="20"/>
        </w:rPr>
        <w:t>and</w:t>
      </w:r>
    </w:p>
    <w:p w:rsidR="00DA2C4F" w:rsidRPr="00DA2C4F" w:rsidRDefault="00DA2C4F" w:rsidP="00DA2C4F">
      <w:pPr>
        <w:pStyle w:val="List1"/>
        <w:numPr>
          <w:ilvl w:val="0"/>
          <w:numId w:val="4"/>
        </w:numPr>
        <w:tabs>
          <w:tab w:val="num" w:pos="1551"/>
        </w:tabs>
        <w:ind w:left="1551"/>
        <w:rPr>
          <w:rFonts w:cs="Arial"/>
          <w:color w:val="4F6228" w:themeColor="accent3" w:themeShade="80"/>
          <w:sz w:val="20"/>
        </w:rPr>
      </w:pPr>
      <w:proofErr w:type="gramStart"/>
      <w:r w:rsidRPr="00DA2C4F">
        <w:rPr>
          <w:rFonts w:cs="Arial"/>
          <w:color w:val="4F6228" w:themeColor="accent3" w:themeShade="80"/>
          <w:sz w:val="20"/>
        </w:rPr>
        <w:t>any</w:t>
      </w:r>
      <w:proofErr w:type="gramEnd"/>
      <w:r w:rsidRPr="00DA2C4F">
        <w:rPr>
          <w:rFonts w:cs="Arial"/>
          <w:color w:val="4F6228" w:themeColor="accent3" w:themeShade="80"/>
          <w:sz w:val="20"/>
        </w:rPr>
        <w:t xml:space="preserve"> person who undertakes to fulfil the obligations of a person referred to in paragraphs </w:t>
      </w:r>
      <w:r w:rsidRPr="00DA2C4F">
        <w:rPr>
          <w:rFonts w:cs="Arial"/>
          <w:color w:val="4F6228" w:themeColor="accent3" w:themeShade="80"/>
          <w:sz w:val="20"/>
        </w:rPr>
        <w:fldChar w:fldCharType="begin"/>
      </w:r>
      <w:r w:rsidRPr="00DA2C4F">
        <w:rPr>
          <w:rFonts w:cs="Arial"/>
          <w:color w:val="4F6228" w:themeColor="accent3" w:themeShade="80"/>
          <w:sz w:val="20"/>
        </w:rPr>
        <w:instrText xml:space="preserve"> REF _Ref496513055 \r \h </w:instrText>
      </w:r>
      <w:r w:rsidRPr="00DA2C4F">
        <w:rPr>
          <w:rFonts w:cs="Arial"/>
          <w:color w:val="4F6228" w:themeColor="accent3" w:themeShade="80"/>
          <w:sz w:val="20"/>
        </w:rPr>
      </w:r>
      <w:r w:rsidRPr="00DA2C4F">
        <w:rPr>
          <w:rFonts w:cs="Arial"/>
          <w:color w:val="4F6228" w:themeColor="accent3" w:themeShade="80"/>
          <w:sz w:val="20"/>
        </w:rPr>
        <w:instrText xml:space="preserve"> \* MERGEFORMAT </w:instrText>
      </w:r>
      <w:r w:rsidRPr="00DA2C4F">
        <w:rPr>
          <w:rFonts w:cs="Arial"/>
          <w:color w:val="4F6228" w:themeColor="accent3" w:themeShade="80"/>
          <w:sz w:val="20"/>
        </w:rPr>
        <w:fldChar w:fldCharType="separate"/>
      </w:r>
      <w:r>
        <w:rPr>
          <w:rFonts w:cs="Arial"/>
          <w:color w:val="4F6228" w:themeColor="accent3" w:themeShade="80"/>
          <w:sz w:val="20"/>
        </w:rPr>
        <w:t>(a)</w:t>
      </w:r>
      <w:r w:rsidRPr="00DA2C4F">
        <w:rPr>
          <w:rFonts w:cs="Arial"/>
          <w:color w:val="4F6228" w:themeColor="accent3" w:themeShade="80"/>
          <w:sz w:val="20"/>
        </w:rPr>
        <w:fldChar w:fldCharType="end"/>
      </w:r>
      <w:r w:rsidRPr="00DA2C4F">
        <w:rPr>
          <w:rFonts w:cs="Arial"/>
          <w:color w:val="4F6228" w:themeColor="accent3" w:themeShade="80"/>
          <w:sz w:val="20"/>
        </w:rPr>
        <w:t xml:space="preserve"> or </w:t>
      </w:r>
      <w:r w:rsidRPr="00DA2C4F">
        <w:rPr>
          <w:rFonts w:cs="Arial"/>
          <w:color w:val="4F6228" w:themeColor="accent3" w:themeShade="80"/>
          <w:sz w:val="20"/>
        </w:rPr>
        <w:fldChar w:fldCharType="begin"/>
      </w:r>
      <w:r w:rsidRPr="00DA2C4F">
        <w:rPr>
          <w:rFonts w:cs="Arial"/>
          <w:color w:val="4F6228" w:themeColor="accent3" w:themeShade="80"/>
          <w:sz w:val="20"/>
        </w:rPr>
        <w:instrText xml:space="preserve"> REF _Ref496513061 \r \h </w:instrText>
      </w:r>
      <w:r w:rsidRPr="00DA2C4F">
        <w:rPr>
          <w:rFonts w:cs="Arial"/>
          <w:color w:val="4F6228" w:themeColor="accent3" w:themeShade="80"/>
          <w:sz w:val="20"/>
        </w:rPr>
      </w:r>
      <w:r w:rsidRPr="00DA2C4F">
        <w:rPr>
          <w:rFonts w:cs="Arial"/>
          <w:color w:val="4F6228" w:themeColor="accent3" w:themeShade="80"/>
          <w:sz w:val="20"/>
        </w:rPr>
        <w:instrText xml:space="preserve"> \* MERGEFORMAT </w:instrText>
      </w:r>
      <w:r w:rsidRPr="00DA2C4F">
        <w:rPr>
          <w:rFonts w:cs="Arial"/>
          <w:color w:val="4F6228" w:themeColor="accent3" w:themeShade="80"/>
          <w:sz w:val="20"/>
        </w:rPr>
        <w:fldChar w:fldCharType="separate"/>
      </w:r>
      <w:r>
        <w:rPr>
          <w:rFonts w:cs="Arial"/>
          <w:color w:val="4F6228" w:themeColor="accent3" w:themeShade="80"/>
          <w:sz w:val="20"/>
        </w:rPr>
        <w:t>(b)</w:t>
      </w:r>
      <w:r w:rsidRPr="00DA2C4F">
        <w:rPr>
          <w:rFonts w:cs="Arial"/>
          <w:color w:val="4F6228" w:themeColor="accent3" w:themeShade="80"/>
          <w:sz w:val="20"/>
        </w:rPr>
        <w:fldChar w:fldCharType="end"/>
      </w:r>
      <w:r w:rsidRPr="00DA2C4F">
        <w:rPr>
          <w:rFonts w:cs="Arial"/>
          <w:color w:val="4F6228" w:themeColor="accent3" w:themeShade="80"/>
          <w:sz w:val="20"/>
        </w:rPr>
        <w:t xml:space="preserve"> towards the learner’s education at school.</w:t>
      </w:r>
    </w:p>
    <w:p w:rsidR="00DA2C4F" w:rsidRPr="00DA2C4F" w:rsidRDefault="00DA2C4F" w:rsidP="00DA2C4F">
      <w:pPr>
        <w:pStyle w:val="BodyText"/>
        <w:jc w:val="center"/>
        <w:rPr>
          <w:color w:val="4F6228" w:themeColor="accent3" w:themeShade="80"/>
          <w:sz w:val="20"/>
          <w:szCs w:val="20"/>
        </w:rPr>
      </w:pPr>
      <w:r w:rsidRPr="00DA2C4F">
        <w:rPr>
          <w:b/>
          <w:color w:val="4F6228" w:themeColor="accent3" w:themeShade="80"/>
          <w:sz w:val="20"/>
          <w:szCs w:val="20"/>
        </w:rPr>
        <w:t>GENERAL</w:t>
      </w:r>
    </w:p>
    <w:p w:rsidR="00DA2C4F" w:rsidRPr="00DA2C4F" w:rsidRDefault="00DA2C4F" w:rsidP="00DA2C4F">
      <w:pPr>
        <w:pStyle w:val="List1"/>
        <w:tabs>
          <w:tab w:val="clear" w:pos="360"/>
          <w:tab w:val="num" w:pos="567"/>
        </w:tabs>
        <w:ind w:left="567" w:hanging="567"/>
        <w:rPr>
          <w:rFonts w:cs="Arial"/>
          <w:b/>
          <w:bCs/>
          <w:color w:val="4F6228" w:themeColor="accent3" w:themeShade="80"/>
          <w:sz w:val="20"/>
        </w:rPr>
      </w:pPr>
      <w:r w:rsidRPr="00DA2C4F">
        <w:rPr>
          <w:rFonts w:cs="Arial"/>
          <w:color w:val="4F6228" w:themeColor="accent3" w:themeShade="80"/>
          <w:sz w:val="20"/>
        </w:rPr>
        <w:t>The educators who are registered or provisionally registered with the South African Council for Educators: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acknowledge</w:t>
      </w:r>
      <w:proofErr w:type="gramEnd"/>
      <w:r w:rsidRPr="00DA2C4F">
        <w:rPr>
          <w:rFonts w:cs="Arial"/>
          <w:color w:val="4F6228" w:themeColor="accent3" w:themeShade="80"/>
          <w:sz w:val="20"/>
        </w:rPr>
        <w:t xml:space="preserve"> the noble calling of their profession to educate and train the learners of our country;</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acknowledge</w:t>
      </w:r>
      <w:proofErr w:type="gramEnd"/>
      <w:r w:rsidRPr="00DA2C4F">
        <w:rPr>
          <w:rFonts w:cs="Arial"/>
          <w:color w:val="4F6228" w:themeColor="accent3" w:themeShade="80"/>
          <w:sz w:val="20"/>
        </w:rPr>
        <w:t xml:space="preserve"> that the attitude, dedication, self-discipline, ideals, training and conduct of the teaching profession determine the quality of education in this country;</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acknowledge</w:t>
      </w:r>
      <w:proofErr w:type="gramEnd"/>
      <w:r w:rsidRPr="00DA2C4F">
        <w:rPr>
          <w:rFonts w:cs="Arial"/>
          <w:color w:val="4F6228" w:themeColor="accent3" w:themeShade="80"/>
          <w:sz w:val="20"/>
        </w:rPr>
        <w:t>, uphold and promote basic human rights, as embodied in the Constitution of South Africa;</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commit</w:t>
      </w:r>
      <w:proofErr w:type="gramEnd"/>
      <w:r w:rsidRPr="00DA2C4F">
        <w:rPr>
          <w:rFonts w:cs="Arial"/>
          <w:color w:val="4F6228" w:themeColor="accent3" w:themeShade="80"/>
          <w:sz w:val="20"/>
        </w:rPr>
        <w:t xml:space="preserve"> themselves therefore to do all within their power, in the exercising of their professional duties, to act in accordance with the ideals of their profession, as expressed in this Code; and</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act</w:t>
      </w:r>
      <w:proofErr w:type="gramEnd"/>
      <w:r w:rsidRPr="00DA2C4F">
        <w:rPr>
          <w:rFonts w:cs="Arial"/>
          <w:color w:val="4F6228" w:themeColor="accent3" w:themeShade="80"/>
          <w:sz w:val="20"/>
        </w:rPr>
        <w:t xml:space="preserve"> in a proper and becoming way such that their behaviour does not bring the teaching profession into disrepute.</w:t>
      </w:r>
    </w:p>
    <w:p w:rsidR="00DA2C4F" w:rsidRPr="00DA2C4F" w:rsidRDefault="00DA2C4F" w:rsidP="00DA2C4F">
      <w:pPr>
        <w:pStyle w:val="BodyText"/>
        <w:jc w:val="center"/>
        <w:rPr>
          <w:b/>
          <w:color w:val="4F6228" w:themeColor="accent3" w:themeShade="80"/>
          <w:sz w:val="20"/>
          <w:szCs w:val="20"/>
        </w:rPr>
      </w:pPr>
      <w:r w:rsidRPr="00DA2C4F">
        <w:rPr>
          <w:b/>
          <w:color w:val="4F6228" w:themeColor="accent3" w:themeShade="80"/>
          <w:sz w:val="20"/>
          <w:szCs w:val="20"/>
        </w:rPr>
        <w:t>CONDUCT: THE EDUCATOR AND THE LEARNER</w:t>
      </w:r>
    </w:p>
    <w:p w:rsidR="00DA2C4F" w:rsidRPr="00DA2C4F" w:rsidRDefault="00DA2C4F" w:rsidP="00DA2C4F">
      <w:pPr>
        <w:pStyle w:val="List1"/>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An educator: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respects</w:t>
      </w:r>
      <w:proofErr w:type="gramEnd"/>
      <w:r w:rsidRPr="00DA2C4F">
        <w:rPr>
          <w:rFonts w:cs="Arial"/>
          <w:color w:val="4F6228" w:themeColor="accent3" w:themeShade="80"/>
          <w:sz w:val="20"/>
        </w:rPr>
        <w:t xml:space="preserve"> the dignity, beliefs and constitutional rights of learners and in particular children, which includes the right to privacy and confidentiality;</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acknowledges</w:t>
      </w:r>
      <w:proofErr w:type="gramEnd"/>
      <w:r w:rsidRPr="00DA2C4F">
        <w:rPr>
          <w:rFonts w:cs="Arial"/>
          <w:color w:val="4F6228" w:themeColor="accent3" w:themeShade="80"/>
          <w:sz w:val="20"/>
        </w:rPr>
        <w:t xml:space="preserve"> the uniqueness, individuality, and specific needs of each learner, guiding and encouraging each to realise his or her potentialities;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lastRenderedPageBreak/>
        <w:t>strives</w:t>
      </w:r>
      <w:proofErr w:type="gramEnd"/>
      <w:r w:rsidRPr="00DA2C4F">
        <w:rPr>
          <w:rFonts w:cs="Arial"/>
          <w:color w:val="4F6228" w:themeColor="accent3" w:themeShade="80"/>
          <w:sz w:val="20"/>
        </w:rPr>
        <w:t xml:space="preserve"> to enable learners to develop a set of values consistent with the fundamental rights contained in the Constitution of South Africa;</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exercises</w:t>
      </w:r>
      <w:proofErr w:type="gramEnd"/>
      <w:r w:rsidRPr="00DA2C4F">
        <w:rPr>
          <w:rFonts w:cs="Arial"/>
          <w:color w:val="4F6228" w:themeColor="accent3" w:themeShade="80"/>
          <w:sz w:val="20"/>
        </w:rPr>
        <w:t xml:space="preserve"> authority with compassion;</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avoids</w:t>
      </w:r>
      <w:proofErr w:type="gramEnd"/>
      <w:r w:rsidRPr="00DA2C4F">
        <w:rPr>
          <w:rFonts w:cs="Arial"/>
          <w:color w:val="4F6228" w:themeColor="accent3" w:themeShade="80"/>
          <w:sz w:val="20"/>
        </w:rPr>
        <w:t xml:space="preserve"> any form of humiliation, and refrains from any form of abuse, physical or psychological;</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refrains</w:t>
      </w:r>
      <w:proofErr w:type="gramEnd"/>
      <w:r w:rsidRPr="00DA2C4F">
        <w:rPr>
          <w:rFonts w:cs="Arial"/>
          <w:color w:val="4F6228" w:themeColor="accent3" w:themeShade="80"/>
          <w:sz w:val="20"/>
        </w:rPr>
        <w:t xml:space="preserve"> from improper physical contact with learners;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promotes</w:t>
      </w:r>
      <w:proofErr w:type="gramEnd"/>
      <w:r w:rsidRPr="00DA2C4F">
        <w:rPr>
          <w:rFonts w:cs="Arial"/>
          <w:color w:val="4F6228" w:themeColor="accent3" w:themeShade="80"/>
          <w:sz w:val="20"/>
        </w:rPr>
        <w:t xml:space="preserve"> gender equality;</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refrains</w:t>
      </w:r>
      <w:proofErr w:type="gramEnd"/>
      <w:r w:rsidRPr="00DA2C4F">
        <w:rPr>
          <w:rFonts w:cs="Arial"/>
          <w:color w:val="4F6228" w:themeColor="accent3" w:themeShade="80"/>
          <w:sz w:val="20"/>
        </w:rPr>
        <w:t xml:space="preserve"> from any form of sexual harassment (physical or otherwise) of learners;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refrains</w:t>
      </w:r>
      <w:proofErr w:type="gramEnd"/>
      <w:r w:rsidRPr="00DA2C4F">
        <w:rPr>
          <w:rFonts w:cs="Arial"/>
          <w:color w:val="4F6228" w:themeColor="accent3" w:themeShade="80"/>
          <w:sz w:val="20"/>
        </w:rPr>
        <w:t xml:space="preserve"> from any form of sexual relationship with learners at a school;</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uses</w:t>
      </w:r>
      <w:proofErr w:type="gramEnd"/>
      <w:r w:rsidRPr="00DA2C4F">
        <w:rPr>
          <w:rFonts w:cs="Arial"/>
          <w:color w:val="4F6228" w:themeColor="accent3" w:themeShade="80"/>
          <w:sz w:val="20"/>
        </w:rPr>
        <w:t xml:space="preserve"> appropriate language and behaviour in his or her interaction with learners, and acts in such a way as to elicit respect from the learners;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takes</w:t>
      </w:r>
      <w:proofErr w:type="gramEnd"/>
      <w:r w:rsidRPr="00DA2C4F">
        <w:rPr>
          <w:rFonts w:cs="Arial"/>
          <w:color w:val="4F6228" w:themeColor="accent3" w:themeShade="80"/>
          <w:sz w:val="20"/>
        </w:rPr>
        <w:t xml:space="preserve"> reasonable steps to ensure the safety of the learner;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does</w:t>
      </w:r>
      <w:proofErr w:type="gramEnd"/>
      <w:r w:rsidRPr="00DA2C4F">
        <w:rPr>
          <w:rFonts w:cs="Arial"/>
          <w:color w:val="4F6228" w:themeColor="accent3" w:themeShade="80"/>
          <w:sz w:val="20"/>
        </w:rPr>
        <w:t xml:space="preserve"> not abuse the position he or she holds for financial, political or personal gain;</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is</w:t>
      </w:r>
      <w:proofErr w:type="gramEnd"/>
      <w:r w:rsidRPr="00DA2C4F">
        <w:rPr>
          <w:rFonts w:cs="Arial"/>
          <w:color w:val="4F6228" w:themeColor="accent3" w:themeShade="80"/>
          <w:sz w:val="20"/>
        </w:rPr>
        <w:t xml:space="preserve"> not negligent or indolent in the performance of his or her professional duties; and</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recognises</w:t>
      </w:r>
      <w:proofErr w:type="gramEnd"/>
      <w:r w:rsidRPr="00DA2C4F">
        <w:rPr>
          <w:rFonts w:cs="Arial"/>
          <w:color w:val="4F6228" w:themeColor="accent3" w:themeShade="80"/>
          <w:sz w:val="20"/>
        </w:rPr>
        <w:t>, where appropriate, learners as partners in education.</w:t>
      </w:r>
    </w:p>
    <w:p w:rsidR="00DA2C4F" w:rsidRPr="00DA2C4F" w:rsidRDefault="00DA2C4F" w:rsidP="00DA2C4F">
      <w:pPr>
        <w:pStyle w:val="BodyText"/>
        <w:jc w:val="center"/>
        <w:rPr>
          <w:b/>
          <w:color w:val="4F6228" w:themeColor="accent3" w:themeShade="80"/>
          <w:sz w:val="20"/>
          <w:szCs w:val="20"/>
        </w:rPr>
      </w:pPr>
      <w:r w:rsidRPr="00DA2C4F">
        <w:rPr>
          <w:b/>
          <w:color w:val="4F6228" w:themeColor="accent3" w:themeShade="80"/>
          <w:sz w:val="20"/>
          <w:szCs w:val="20"/>
        </w:rPr>
        <w:t>CONDUCT: THE EDUCATOR AND THE PARENT</w:t>
      </w:r>
    </w:p>
    <w:p w:rsidR="00DA2C4F" w:rsidRPr="00DA2C4F" w:rsidRDefault="00DA2C4F" w:rsidP="00DA2C4F">
      <w:pPr>
        <w:pStyle w:val="BodyText"/>
        <w:jc w:val="center"/>
        <w:rPr>
          <w:b/>
          <w:color w:val="4F6228" w:themeColor="accent3" w:themeShade="80"/>
          <w:sz w:val="20"/>
          <w:szCs w:val="20"/>
        </w:rPr>
      </w:pPr>
    </w:p>
    <w:p w:rsidR="00DA2C4F" w:rsidRPr="00DA2C4F" w:rsidRDefault="00DA2C4F" w:rsidP="00DA2C4F">
      <w:pPr>
        <w:pStyle w:val="List1"/>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An educator, where appropriate:</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recognises</w:t>
      </w:r>
      <w:proofErr w:type="gramEnd"/>
      <w:r w:rsidRPr="00DA2C4F">
        <w:rPr>
          <w:rFonts w:cs="Arial"/>
          <w:color w:val="4F6228" w:themeColor="accent3" w:themeShade="80"/>
          <w:sz w:val="20"/>
        </w:rPr>
        <w:t xml:space="preserve"> the parents as partners in education, and promotes a harmonious relationship with them; and</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does</w:t>
      </w:r>
      <w:proofErr w:type="gramEnd"/>
      <w:r w:rsidRPr="00DA2C4F">
        <w:rPr>
          <w:rFonts w:cs="Arial"/>
          <w:color w:val="4F6228" w:themeColor="accent3" w:themeShade="80"/>
          <w:sz w:val="20"/>
        </w:rPr>
        <w:t xml:space="preserve"> what is practically possible to keep parents adequately and timeously informed about the well-being and progress of the learner.</w:t>
      </w:r>
    </w:p>
    <w:p w:rsidR="00DA2C4F" w:rsidRPr="00DA2C4F" w:rsidRDefault="00DA2C4F" w:rsidP="00DA2C4F">
      <w:pPr>
        <w:pStyle w:val="BodyText"/>
        <w:jc w:val="center"/>
        <w:rPr>
          <w:b/>
          <w:color w:val="4F6228" w:themeColor="accent3" w:themeShade="80"/>
          <w:sz w:val="20"/>
          <w:szCs w:val="20"/>
        </w:rPr>
      </w:pPr>
      <w:r w:rsidRPr="00DA2C4F">
        <w:rPr>
          <w:b/>
          <w:color w:val="4F6228" w:themeColor="accent3" w:themeShade="80"/>
          <w:sz w:val="20"/>
          <w:szCs w:val="20"/>
        </w:rPr>
        <w:t>CONDUCT: THE EDUCATOR AND THE COMMUNITY</w:t>
      </w:r>
    </w:p>
    <w:p w:rsidR="00DA2C4F" w:rsidRPr="00DA2C4F" w:rsidRDefault="00DA2C4F" w:rsidP="00DA2C4F">
      <w:pPr>
        <w:pStyle w:val="List1"/>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An educator: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recognises</w:t>
      </w:r>
      <w:proofErr w:type="gramEnd"/>
      <w:r w:rsidRPr="00DA2C4F">
        <w:rPr>
          <w:rFonts w:cs="Arial"/>
          <w:color w:val="4F6228" w:themeColor="accent3" w:themeShade="80"/>
          <w:sz w:val="20"/>
        </w:rPr>
        <w:t xml:space="preserve"> that an educational institution serves the community, and therefore acknowledges that there will be differing customs, codes and beliefs in the community; and</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conducts</w:t>
      </w:r>
      <w:proofErr w:type="gramEnd"/>
      <w:r w:rsidRPr="00DA2C4F">
        <w:rPr>
          <w:rFonts w:cs="Arial"/>
          <w:color w:val="4F6228" w:themeColor="accent3" w:themeShade="80"/>
          <w:sz w:val="20"/>
        </w:rPr>
        <w:t xml:space="preserve"> him/herself in a manner that does not show disrespect to the values, customs and norms of the community.</w:t>
      </w:r>
    </w:p>
    <w:p w:rsidR="00DA2C4F" w:rsidRPr="00DA2C4F" w:rsidRDefault="00DA2C4F" w:rsidP="00DA2C4F">
      <w:pPr>
        <w:pStyle w:val="BodyText"/>
        <w:jc w:val="center"/>
        <w:rPr>
          <w:b/>
          <w:color w:val="4F6228" w:themeColor="accent3" w:themeShade="80"/>
          <w:sz w:val="20"/>
          <w:szCs w:val="20"/>
        </w:rPr>
      </w:pPr>
      <w:r w:rsidRPr="00DA2C4F">
        <w:rPr>
          <w:b/>
          <w:color w:val="4F6228" w:themeColor="accent3" w:themeShade="80"/>
          <w:sz w:val="20"/>
          <w:szCs w:val="20"/>
        </w:rPr>
        <w:t>CONDUCT: THE EDUCATOR AND HIS OR HER COLLEAGUES</w:t>
      </w:r>
    </w:p>
    <w:p w:rsidR="00DA2C4F" w:rsidRPr="00DA2C4F" w:rsidRDefault="00DA2C4F" w:rsidP="00DA2C4F">
      <w:pPr>
        <w:pStyle w:val="List1"/>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An educator: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refrains</w:t>
      </w:r>
      <w:proofErr w:type="gramEnd"/>
      <w:r w:rsidRPr="00DA2C4F">
        <w:rPr>
          <w:rFonts w:cs="Arial"/>
          <w:color w:val="4F6228" w:themeColor="accent3" w:themeShade="80"/>
          <w:sz w:val="20"/>
        </w:rPr>
        <w:t xml:space="preserve"> from undermining the status and authority of his or her colleagues;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respects</w:t>
      </w:r>
      <w:proofErr w:type="gramEnd"/>
      <w:r w:rsidRPr="00DA2C4F">
        <w:rPr>
          <w:rFonts w:cs="Arial"/>
          <w:color w:val="4F6228" w:themeColor="accent3" w:themeShade="80"/>
          <w:sz w:val="20"/>
        </w:rPr>
        <w:t xml:space="preserve"> the various responsibilities assigned to colleagues and the authority that arises therefrom, to ensure the smooth running of the educational institution;</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uses</w:t>
      </w:r>
      <w:proofErr w:type="gramEnd"/>
      <w:r w:rsidRPr="00DA2C4F">
        <w:rPr>
          <w:rFonts w:cs="Arial"/>
          <w:color w:val="4F6228" w:themeColor="accent3" w:themeShade="80"/>
          <w:sz w:val="20"/>
        </w:rPr>
        <w:t xml:space="preserve"> proper procedures to address issues of professional incompetence or misbehaviour;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lastRenderedPageBreak/>
        <w:t>promotes</w:t>
      </w:r>
      <w:proofErr w:type="gramEnd"/>
      <w:r w:rsidRPr="00DA2C4F">
        <w:rPr>
          <w:rFonts w:cs="Arial"/>
          <w:color w:val="4F6228" w:themeColor="accent3" w:themeShade="80"/>
          <w:sz w:val="20"/>
        </w:rPr>
        <w:t xml:space="preserve"> gender equality and refrains from sexual harassment (physical or otherwise) of his or her colleagues;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uses</w:t>
      </w:r>
      <w:proofErr w:type="gramEnd"/>
      <w:r w:rsidRPr="00DA2C4F">
        <w:rPr>
          <w:rFonts w:cs="Arial"/>
          <w:color w:val="4F6228" w:themeColor="accent3" w:themeShade="80"/>
          <w:sz w:val="20"/>
        </w:rPr>
        <w:t xml:space="preserve"> appropriate language and behaviour in his or her interactions with colleagues;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avoids</w:t>
      </w:r>
      <w:proofErr w:type="gramEnd"/>
      <w:r w:rsidRPr="00DA2C4F">
        <w:rPr>
          <w:rFonts w:cs="Arial"/>
          <w:color w:val="4F6228" w:themeColor="accent3" w:themeShade="80"/>
          <w:sz w:val="20"/>
        </w:rPr>
        <w:t xml:space="preserve"> any form of humiliation, and refrains from any form of abuse (physical or otherwise) towards colleagues.</w:t>
      </w:r>
    </w:p>
    <w:p w:rsidR="00DA2C4F" w:rsidRPr="00DA2C4F" w:rsidRDefault="00DA2C4F" w:rsidP="00DA2C4F">
      <w:pPr>
        <w:pStyle w:val="BodyText"/>
        <w:keepNext/>
        <w:jc w:val="center"/>
        <w:rPr>
          <w:b/>
          <w:color w:val="4F6228" w:themeColor="accent3" w:themeShade="80"/>
          <w:sz w:val="20"/>
          <w:szCs w:val="20"/>
        </w:rPr>
      </w:pPr>
      <w:r w:rsidRPr="00DA2C4F">
        <w:rPr>
          <w:b/>
          <w:color w:val="4F6228" w:themeColor="accent3" w:themeShade="80"/>
          <w:sz w:val="20"/>
          <w:szCs w:val="20"/>
        </w:rPr>
        <w:t>CONDUCT: THE EDUCATOR AND THE PROFESSION</w:t>
      </w:r>
    </w:p>
    <w:p w:rsidR="00DA2C4F" w:rsidRPr="00DA2C4F" w:rsidRDefault="00DA2C4F" w:rsidP="00DA2C4F">
      <w:pPr>
        <w:pStyle w:val="List1"/>
        <w:keepNext/>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An educator: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acknowledges</w:t>
      </w:r>
      <w:proofErr w:type="gramEnd"/>
      <w:r w:rsidRPr="00DA2C4F">
        <w:rPr>
          <w:rFonts w:cs="Arial"/>
          <w:color w:val="4F6228" w:themeColor="accent3" w:themeShade="80"/>
          <w:sz w:val="20"/>
        </w:rPr>
        <w:t xml:space="preserve"> that the exercising of his or her professional duties occurs within a context requiring co-operation with and support of colleagues;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behaves</w:t>
      </w:r>
      <w:proofErr w:type="gramEnd"/>
      <w:r w:rsidRPr="00DA2C4F">
        <w:rPr>
          <w:rFonts w:cs="Arial"/>
          <w:color w:val="4F6228" w:themeColor="accent3" w:themeShade="80"/>
          <w:sz w:val="20"/>
        </w:rPr>
        <w:t xml:space="preserve"> in a way that enhances the dignity and status of the teaching profession and that does not bring the profession into disrepute;</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keeps</w:t>
      </w:r>
      <w:proofErr w:type="gramEnd"/>
      <w:r w:rsidRPr="00DA2C4F">
        <w:rPr>
          <w:rFonts w:cs="Arial"/>
          <w:color w:val="4F6228" w:themeColor="accent3" w:themeShade="80"/>
          <w:sz w:val="20"/>
        </w:rPr>
        <w:t xml:space="preserve"> abreast of educational trends and developments;</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promotes</w:t>
      </w:r>
      <w:proofErr w:type="gramEnd"/>
      <w:r w:rsidRPr="00DA2C4F">
        <w:rPr>
          <w:rFonts w:cs="Arial"/>
          <w:color w:val="4F6228" w:themeColor="accent3" w:themeShade="80"/>
          <w:sz w:val="20"/>
        </w:rPr>
        <w:t xml:space="preserve"> the </w:t>
      </w:r>
      <w:proofErr w:type="spellStart"/>
      <w:r w:rsidRPr="00DA2C4F">
        <w:rPr>
          <w:rFonts w:cs="Arial"/>
          <w:color w:val="4F6228" w:themeColor="accent3" w:themeShade="80"/>
          <w:sz w:val="20"/>
        </w:rPr>
        <w:t>ongoing</w:t>
      </w:r>
      <w:proofErr w:type="spellEnd"/>
      <w:r w:rsidRPr="00DA2C4F">
        <w:rPr>
          <w:rFonts w:cs="Arial"/>
          <w:color w:val="4F6228" w:themeColor="accent3" w:themeShade="80"/>
          <w:sz w:val="20"/>
        </w:rPr>
        <w:t xml:space="preserve"> development of teaching as a profession;</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accepts</w:t>
      </w:r>
      <w:proofErr w:type="gramEnd"/>
      <w:r w:rsidRPr="00DA2C4F">
        <w:rPr>
          <w:rFonts w:cs="Arial"/>
          <w:color w:val="4F6228" w:themeColor="accent3" w:themeShade="80"/>
          <w:sz w:val="20"/>
        </w:rPr>
        <w:t xml:space="preserve"> that he or she has a professional obligation towards the education and induction into the profession of new members of the teaching profession.</w:t>
      </w:r>
    </w:p>
    <w:p w:rsidR="00DA2C4F" w:rsidRPr="00DA2C4F" w:rsidRDefault="00DA2C4F" w:rsidP="00DA2C4F">
      <w:pPr>
        <w:pStyle w:val="BodyText"/>
        <w:jc w:val="center"/>
        <w:rPr>
          <w:b/>
          <w:color w:val="4F6228" w:themeColor="accent3" w:themeShade="80"/>
          <w:sz w:val="20"/>
          <w:szCs w:val="20"/>
        </w:rPr>
      </w:pPr>
      <w:r w:rsidRPr="00DA2C4F">
        <w:rPr>
          <w:b/>
          <w:color w:val="4F6228" w:themeColor="accent3" w:themeShade="80"/>
          <w:sz w:val="20"/>
          <w:szCs w:val="20"/>
        </w:rPr>
        <w:t>CONDUCT: THE EDUCATOR AND HIS OR HER EMPLOYER</w:t>
      </w:r>
    </w:p>
    <w:p w:rsidR="00DA2C4F" w:rsidRPr="00DA2C4F" w:rsidRDefault="00DA2C4F" w:rsidP="00DA2C4F">
      <w:pPr>
        <w:pStyle w:val="List1"/>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An educator: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recognises</w:t>
      </w:r>
      <w:proofErr w:type="gramEnd"/>
      <w:r w:rsidRPr="00DA2C4F">
        <w:rPr>
          <w:rFonts w:cs="Arial"/>
          <w:color w:val="4F6228" w:themeColor="accent3" w:themeShade="80"/>
          <w:sz w:val="20"/>
        </w:rPr>
        <w:t xml:space="preserve"> the employer as a partner in education;</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acknowledges</w:t>
      </w:r>
      <w:proofErr w:type="gramEnd"/>
      <w:r w:rsidRPr="00DA2C4F">
        <w:rPr>
          <w:rFonts w:cs="Arial"/>
          <w:color w:val="4F6228" w:themeColor="accent3" w:themeShade="80"/>
          <w:sz w:val="20"/>
        </w:rPr>
        <w:t xml:space="preserve"> that certain responsibilities and authorities are vested in the employer through legislation, and serves his or her employer to the best of his or her ability;</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refrains</w:t>
      </w:r>
      <w:proofErr w:type="gramEnd"/>
      <w:r w:rsidRPr="00DA2C4F">
        <w:rPr>
          <w:rFonts w:cs="Arial"/>
          <w:color w:val="4F6228" w:themeColor="accent3" w:themeShade="80"/>
          <w:sz w:val="20"/>
        </w:rPr>
        <w:t xml:space="preserve"> from discussing confidential and official matters with unauthorised persons.</w:t>
      </w:r>
    </w:p>
    <w:p w:rsidR="00DA2C4F" w:rsidRPr="00DA2C4F" w:rsidRDefault="00DA2C4F" w:rsidP="00DA2C4F">
      <w:pPr>
        <w:pStyle w:val="BodyText"/>
        <w:jc w:val="center"/>
        <w:rPr>
          <w:b/>
          <w:color w:val="4F6228" w:themeColor="accent3" w:themeShade="80"/>
          <w:sz w:val="20"/>
          <w:szCs w:val="20"/>
        </w:rPr>
      </w:pPr>
      <w:r w:rsidRPr="00DA2C4F">
        <w:rPr>
          <w:b/>
          <w:color w:val="4F6228" w:themeColor="accent3" w:themeShade="80"/>
          <w:sz w:val="20"/>
          <w:szCs w:val="20"/>
        </w:rPr>
        <w:t>CONDUCT: THE EDUCATOR AND THE COUNCIL</w:t>
      </w:r>
    </w:p>
    <w:p w:rsidR="00DA2C4F" w:rsidRPr="00DA2C4F" w:rsidRDefault="00DA2C4F" w:rsidP="00DA2C4F">
      <w:pPr>
        <w:pStyle w:val="List1"/>
        <w:tabs>
          <w:tab w:val="clear" w:pos="360"/>
          <w:tab w:val="num" w:pos="567"/>
        </w:tabs>
        <w:ind w:left="567" w:hanging="567"/>
        <w:rPr>
          <w:rFonts w:cs="Arial"/>
          <w:color w:val="4F6228" w:themeColor="accent3" w:themeShade="80"/>
          <w:sz w:val="20"/>
        </w:rPr>
      </w:pPr>
      <w:r w:rsidRPr="00DA2C4F">
        <w:rPr>
          <w:rFonts w:cs="Arial"/>
          <w:color w:val="4F6228" w:themeColor="accent3" w:themeShade="80"/>
          <w:sz w:val="20"/>
        </w:rPr>
        <w:t>An educator:</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makes</w:t>
      </w:r>
      <w:proofErr w:type="gramEnd"/>
      <w:r w:rsidRPr="00DA2C4F">
        <w:rPr>
          <w:rFonts w:cs="Arial"/>
          <w:color w:val="4F6228" w:themeColor="accent3" w:themeShade="80"/>
          <w:sz w:val="20"/>
        </w:rPr>
        <w:t xml:space="preserve"> every effort to familiarise him/herself and his/her colleagues with the provisions of the Code;</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complies</w:t>
      </w:r>
      <w:proofErr w:type="gramEnd"/>
      <w:r w:rsidRPr="00DA2C4F">
        <w:rPr>
          <w:rFonts w:cs="Arial"/>
          <w:color w:val="4F6228" w:themeColor="accent3" w:themeShade="80"/>
          <w:sz w:val="20"/>
        </w:rPr>
        <w:t xml:space="preserve"> with the provisions of this Code;</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discloses</w:t>
      </w:r>
      <w:proofErr w:type="gramEnd"/>
      <w:r w:rsidRPr="00DA2C4F">
        <w:rPr>
          <w:rFonts w:cs="Arial"/>
          <w:color w:val="4F6228" w:themeColor="accent3" w:themeShade="80"/>
          <w:sz w:val="20"/>
        </w:rPr>
        <w:t xml:space="preserve"> all relevant information to the Council;</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informs</w:t>
      </w:r>
      <w:proofErr w:type="gramEnd"/>
      <w:r w:rsidRPr="00DA2C4F">
        <w:rPr>
          <w:rFonts w:cs="Arial"/>
          <w:color w:val="4F6228" w:themeColor="accent3" w:themeShade="80"/>
          <w:sz w:val="20"/>
        </w:rPr>
        <w:t xml:space="preserve"> Council and/or relevant authorities of alleged or apparent breaches of the Code within his/her knowledge;</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co</w:t>
      </w:r>
      <w:proofErr w:type="gramEnd"/>
      <w:r w:rsidRPr="00DA2C4F">
        <w:rPr>
          <w:rFonts w:cs="Arial"/>
          <w:color w:val="4F6228" w:themeColor="accent3" w:themeShade="80"/>
          <w:sz w:val="20"/>
        </w:rPr>
        <w:t>-operates with the Council to the best of his or her ability; and</w:t>
      </w:r>
    </w:p>
    <w:p w:rsidR="00DA2C4F" w:rsidRPr="00DA2C4F" w:rsidRDefault="00DA2C4F" w:rsidP="00DA2C4F">
      <w:pPr>
        <w:pStyle w:val="List2"/>
        <w:tabs>
          <w:tab w:val="clear" w:pos="360"/>
          <w:tab w:val="num" w:pos="1418"/>
        </w:tabs>
        <w:ind w:left="1418" w:hanging="794"/>
        <w:rPr>
          <w:rFonts w:cs="Arial"/>
          <w:color w:val="4F6228" w:themeColor="accent3" w:themeShade="80"/>
          <w:sz w:val="20"/>
        </w:rPr>
      </w:pPr>
      <w:proofErr w:type="gramStart"/>
      <w:r w:rsidRPr="00DA2C4F">
        <w:rPr>
          <w:rFonts w:cs="Arial"/>
          <w:color w:val="4F6228" w:themeColor="accent3" w:themeShade="80"/>
          <w:sz w:val="20"/>
        </w:rPr>
        <w:t>accepts</w:t>
      </w:r>
      <w:proofErr w:type="gramEnd"/>
      <w:r w:rsidRPr="00DA2C4F">
        <w:rPr>
          <w:rFonts w:cs="Arial"/>
          <w:color w:val="4F6228" w:themeColor="accent3" w:themeShade="80"/>
          <w:sz w:val="20"/>
        </w:rPr>
        <w:t xml:space="preserve"> and complies with the procedures and requirements of the Council, including but not limited to the Registration Procedures, the Disciplinary Procedures of the Council and the payment of compulsory fees.</w:t>
      </w:r>
    </w:p>
    <w:p w:rsidR="00DA2C4F" w:rsidRPr="00DA2C4F" w:rsidRDefault="00DA2C4F" w:rsidP="00DA2C4F">
      <w:pPr>
        <w:pStyle w:val="List2"/>
        <w:numPr>
          <w:ilvl w:val="0"/>
          <w:numId w:val="0"/>
        </w:numPr>
        <w:ind w:left="1418" w:hanging="794"/>
        <w:rPr>
          <w:rFonts w:cs="Arial"/>
          <w:color w:val="4F6228" w:themeColor="accent3" w:themeShade="80"/>
          <w:sz w:val="20"/>
        </w:rPr>
      </w:pPr>
    </w:p>
    <w:p w:rsidR="00DA2C4F" w:rsidRPr="00DA2C4F" w:rsidRDefault="00DA2C4F" w:rsidP="00DA2C4F">
      <w:pPr>
        <w:pStyle w:val="BodyText"/>
        <w:rPr>
          <w:b/>
          <w:color w:val="4F6228" w:themeColor="accent3" w:themeShade="80"/>
          <w:sz w:val="20"/>
          <w:szCs w:val="20"/>
        </w:rPr>
      </w:pPr>
    </w:p>
    <w:p w:rsidR="00DA2C4F" w:rsidRDefault="00DA2C4F" w:rsidP="00DA2C4F">
      <w:pPr>
        <w:jc w:val="center"/>
        <w:rPr>
          <w:rFonts w:ascii="Arial" w:hAnsi="Arial"/>
          <w:sz w:val="22"/>
        </w:rPr>
      </w:pPr>
    </w:p>
    <w:p w:rsidR="00DA2C4F" w:rsidRDefault="00DA2C4F" w:rsidP="00DA2C4F">
      <w:pPr>
        <w:jc w:val="center"/>
        <w:rPr>
          <w:rFonts w:ascii="Arial" w:hAnsi="Arial"/>
          <w:sz w:val="22"/>
        </w:rPr>
      </w:pPr>
      <w:bookmarkStart w:id="2" w:name="_GoBack"/>
      <w:bookmarkEnd w:id="2"/>
    </w:p>
    <w:sectPr w:rsidR="00DA2C4F" w:rsidSect="00DA2C4F">
      <w:pgSz w:w="11900" w:h="16840"/>
      <w:pgMar w:top="1440" w:right="112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22A"/>
    <w:multiLevelType w:val="multilevel"/>
    <w:tmpl w:val="6A441FA0"/>
    <w:lvl w:ilvl="0">
      <w:start w:val="1"/>
      <w:numFmt w:val="decimal"/>
      <w:pStyle w:val="List1"/>
      <w:isLg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sz w:val="24"/>
        <w:u w:val="none"/>
        <w:vertAlign w:val="baseline"/>
      </w:rPr>
    </w:lvl>
    <w:lvl w:ilvl="1">
      <w:start w:val="1"/>
      <w:numFmt w:val="decimal"/>
      <w:pStyle w:val="List2"/>
      <w:isLgl/>
      <w:lvlText w:val="%1.%2"/>
      <w:lvlJc w:val="left"/>
      <w:pPr>
        <w:tabs>
          <w:tab w:val="num" w:pos="1418"/>
        </w:tabs>
        <w:ind w:left="1418" w:hanging="794"/>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decimal"/>
      <w:pStyle w:val="List3"/>
      <w:isLgl/>
      <w:lvlText w:val="%1.%2.%3"/>
      <w:lvlJc w:val="left"/>
      <w:pPr>
        <w:tabs>
          <w:tab w:val="num" w:pos="2438"/>
        </w:tabs>
        <w:ind w:left="2438" w:hanging="102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List4"/>
      <w:isLgl/>
      <w:lvlText w:val="%1.%2.%3.%4"/>
      <w:lvlJc w:val="left"/>
      <w:pPr>
        <w:tabs>
          <w:tab w:val="num" w:pos="3686"/>
        </w:tabs>
        <w:ind w:left="3686" w:hanging="1418"/>
      </w:pPr>
      <w:rPr>
        <w:rFonts w:ascii="Arial" w:hAnsi="Arial" w:hint="default"/>
        <w:b w:val="0"/>
        <w:i w:val="0"/>
        <w:caps w:val="0"/>
        <w:strike w:val="0"/>
        <w:dstrike w:val="0"/>
        <w:outline w:val="0"/>
        <w:shadow w:val="0"/>
        <w:emboss w:val="0"/>
        <w:imprint w:val="0"/>
        <w:vanish w:val="0"/>
        <w:sz w:val="24"/>
        <w:vertAlign w:val="baseline"/>
      </w:rPr>
    </w:lvl>
    <w:lvl w:ilvl="4">
      <w:start w:val="1"/>
      <w:numFmt w:val="decimal"/>
      <w:lvlText w:val="%1.%2.%3.%4.%5"/>
      <w:lvlJc w:val="left"/>
      <w:pPr>
        <w:tabs>
          <w:tab w:val="num" w:pos="2835"/>
        </w:tabs>
        <w:ind w:left="2835" w:hanging="2835"/>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decimal"/>
      <w:lvlText w:val="%1.%2.%3.%4.%5.%6"/>
      <w:lvlJc w:val="left"/>
      <w:pPr>
        <w:tabs>
          <w:tab w:val="num" w:pos="3402"/>
        </w:tabs>
        <w:ind w:left="3402" w:hanging="3402"/>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1.%2.%3.%4.%5.%6.%7"/>
      <w:lvlJc w:val="left"/>
      <w:pPr>
        <w:tabs>
          <w:tab w:val="num" w:pos="3969"/>
        </w:tabs>
        <w:ind w:left="3969" w:hanging="3969"/>
      </w:pPr>
    </w:lvl>
    <w:lvl w:ilvl="7">
      <w:start w:val="1"/>
      <w:numFmt w:val="decimal"/>
      <w:lvlText w:val="%1.%2.%3.%4.%5.%6.%7.%8"/>
      <w:lvlJc w:val="left"/>
      <w:pPr>
        <w:tabs>
          <w:tab w:val="num" w:pos="4536"/>
        </w:tabs>
        <w:ind w:left="4536" w:hanging="4536"/>
      </w:pPr>
    </w:lvl>
    <w:lvl w:ilvl="8">
      <w:start w:val="1"/>
      <w:numFmt w:val="decimal"/>
      <w:lvlText w:val="%1.%2.%3.%4.%5.%6.%7.%8.%9"/>
      <w:lvlJc w:val="left"/>
      <w:pPr>
        <w:tabs>
          <w:tab w:val="num" w:pos="5103"/>
        </w:tabs>
        <w:ind w:left="5103" w:hanging="5103"/>
      </w:pPr>
    </w:lvl>
  </w:abstractNum>
  <w:abstractNum w:abstractNumId="1">
    <w:nsid w:val="3B625841"/>
    <w:multiLevelType w:val="hybridMultilevel"/>
    <w:tmpl w:val="F80EB18C"/>
    <w:styleLink w:val="Bullet"/>
    <w:lvl w:ilvl="0" w:tplc="5EC2A0F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69"/>
        </w:tabs>
        <w:ind w:left="1069"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3C10673B"/>
    <w:multiLevelType w:val="hybridMultilevel"/>
    <w:tmpl w:val="02969D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0F4DBE"/>
    <w:multiLevelType w:val="singleLevel"/>
    <w:tmpl w:val="B840E104"/>
    <w:lvl w:ilvl="0">
      <w:start w:val="1"/>
      <w:numFmt w:val="lowerRoman"/>
      <w:lvlText w:val="(%1)"/>
      <w:lvlJc w:val="right"/>
      <w:pPr>
        <w:tabs>
          <w:tab w:val="num" w:pos="504"/>
        </w:tabs>
        <w:ind w:left="504" w:hanging="216"/>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4">
    <w:nsid w:val="49840B10"/>
    <w:multiLevelType w:val="singleLevel"/>
    <w:tmpl w:val="0C160682"/>
    <w:lvl w:ilvl="0">
      <w:start w:val="1"/>
      <w:numFmt w:val="lowerLetter"/>
      <w:lvlText w:val="(%1)"/>
      <w:lvlJc w:val="left"/>
      <w:pPr>
        <w:tabs>
          <w:tab w:val="num" w:pos="624"/>
        </w:tabs>
        <w:ind w:left="624" w:hanging="624"/>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4F"/>
    <w:rsid w:val="00140A9E"/>
    <w:rsid w:val="00584E71"/>
    <w:rsid w:val="00DA2C4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8EF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4F"/>
    <w:rPr>
      <w:rFonts w:ascii="Times New Roman" w:eastAsia="Times New Roman" w:hAnsi="Times New Roman" w:cs="Times New Roman"/>
      <w:lang w:val="en-US"/>
    </w:rPr>
  </w:style>
  <w:style w:type="paragraph" w:styleId="Heading1">
    <w:name w:val="heading 1"/>
    <w:basedOn w:val="Normal"/>
    <w:next w:val="Normal"/>
    <w:link w:val="Heading1Char"/>
    <w:qFormat/>
    <w:rsid w:val="00DA2C4F"/>
    <w:pPr>
      <w:keepNext/>
      <w:outlineLvl w:val="0"/>
    </w:pPr>
    <w:rPr>
      <w:b/>
      <w:bCs/>
    </w:rPr>
  </w:style>
  <w:style w:type="paragraph" w:styleId="Heading2">
    <w:name w:val="heading 2"/>
    <w:basedOn w:val="Normal"/>
    <w:next w:val="Normal"/>
    <w:link w:val="Heading2Char"/>
    <w:qFormat/>
    <w:rsid w:val="00DA2C4F"/>
    <w:pPr>
      <w:keepNext/>
      <w:jc w:val="both"/>
      <w:outlineLvl w:val="1"/>
    </w:pPr>
    <w:rPr>
      <w:rFonts w:ascii="Arial" w:hAnsi="Arial" w:cs="Arial"/>
      <w:b/>
      <w:bCs/>
    </w:rPr>
  </w:style>
  <w:style w:type="paragraph" w:styleId="Heading3">
    <w:name w:val="heading 3"/>
    <w:basedOn w:val="Normal"/>
    <w:next w:val="Normal"/>
    <w:link w:val="Heading3Char"/>
    <w:qFormat/>
    <w:rsid w:val="00DA2C4F"/>
    <w:pPr>
      <w:keepNext/>
      <w:outlineLvl w:val="2"/>
    </w:pPr>
    <w:rPr>
      <w:rFonts w:ascii="Arial" w:hAnsi="Arial" w:cs="Arial"/>
      <w:b/>
      <w:bCs/>
      <w:sz w:val="20"/>
    </w:rPr>
  </w:style>
  <w:style w:type="paragraph" w:styleId="Heading4">
    <w:name w:val="heading 4"/>
    <w:basedOn w:val="Normal"/>
    <w:next w:val="Normal"/>
    <w:link w:val="Heading4Char"/>
    <w:uiPriority w:val="9"/>
    <w:semiHidden/>
    <w:unhideWhenUsed/>
    <w:qFormat/>
    <w:rsid w:val="00DA2C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4F"/>
    <w:rPr>
      <w:rFonts w:ascii="Times New Roman" w:eastAsia="Times New Roman" w:hAnsi="Times New Roman" w:cs="Times New Roman"/>
      <w:b/>
      <w:bCs/>
      <w:lang w:val="en-US"/>
    </w:rPr>
  </w:style>
  <w:style w:type="character" w:customStyle="1" w:styleId="Heading2Char">
    <w:name w:val="Heading 2 Char"/>
    <w:basedOn w:val="DefaultParagraphFont"/>
    <w:link w:val="Heading2"/>
    <w:rsid w:val="00DA2C4F"/>
    <w:rPr>
      <w:rFonts w:ascii="Arial" w:eastAsia="Times New Roman" w:hAnsi="Arial" w:cs="Arial"/>
      <w:b/>
      <w:bCs/>
      <w:lang w:val="en-US"/>
    </w:rPr>
  </w:style>
  <w:style w:type="character" w:customStyle="1" w:styleId="Heading3Char">
    <w:name w:val="Heading 3 Char"/>
    <w:basedOn w:val="DefaultParagraphFont"/>
    <w:link w:val="Heading3"/>
    <w:rsid w:val="00DA2C4F"/>
    <w:rPr>
      <w:rFonts w:ascii="Arial" w:eastAsia="Times New Roman" w:hAnsi="Arial" w:cs="Arial"/>
      <w:b/>
      <w:bCs/>
      <w:sz w:val="20"/>
      <w:lang w:val="en-US"/>
    </w:rPr>
  </w:style>
  <w:style w:type="paragraph" w:styleId="BodyText">
    <w:name w:val="Body Text"/>
    <w:basedOn w:val="Normal"/>
    <w:link w:val="BodyTextChar"/>
    <w:rsid w:val="00DA2C4F"/>
    <w:pPr>
      <w:jc w:val="both"/>
    </w:pPr>
    <w:rPr>
      <w:rFonts w:ascii="Arial" w:hAnsi="Arial" w:cs="Arial"/>
    </w:rPr>
  </w:style>
  <w:style w:type="character" w:customStyle="1" w:styleId="BodyTextChar">
    <w:name w:val="Body Text Char"/>
    <w:basedOn w:val="DefaultParagraphFont"/>
    <w:link w:val="BodyText"/>
    <w:rsid w:val="00DA2C4F"/>
    <w:rPr>
      <w:rFonts w:ascii="Arial" w:eastAsia="Times New Roman" w:hAnsi="Arial" w:cs="Arial"/>
      <w:lang w:val="en-US"/>
    </w:rPr>
  </w:style>
  <w:style w:type="character" w:styleId="Hyperlink">
    <w:name w:val="Hyperlink"/>
    <w:rsid w:val="00DA2C4F"/>
    <w:rPr>
      <w:color w:val="0000FF"/>
      <w:u w:val="single"/>
    </w:rPr>
  </w:style>
  <w:style w:type="numbering" w:customStyle="1" w:styleId="Bullet">
    <w:name w:val="Bullet"/>
    <w:rsid w:val="00DA2C4F"/>
    <w:pPr>
      <w:numPr>
        <w:numId w:val="1"/>
      </w:numPr>
    </w:pPr>
  </w:style>
  <w:style w:type="paragraph" w:customStyle="1" w:styleId="List1">
    <w:name w:val="List1"/>
    <w:basedOn w:val="Heading1"/>
    <w:rsid w:val="00DA2C4F"/>
    <w:pPr>
      <w:keepNext w:val="0"/>
      <w:numPr>
        <w:numId w:val="3"/>
      </w:numPr>
      <w:tabs>
        <w:tab w:val="clear" w:pos="567"/>
        <w:tab w:val="num" w:pos="360"/>
      </w:tabs>
      <w:suppressAutoHyphens/>
      <w:spacing w:after="240"/>
      <w:ind w:left="0" w:firstLine="0"/>
      <w:jc w:val="both"/>
    </w:pPr>
    <w:rPr>
      <w:rFonts w:ascii="Arial" w:hAnsi="Arial"/>
      <w:b w:val="0"/>
      <w:bCs w:val="0"/>
      <w:szCs w:val="20"/>
      <w:lang w:val="en-GB"/>
    </w:rPr>
  </w:style>
  <w:style w:type="paragraph" w:customStyle="1" w:styleId="List2">
    <w:name w:val="List2"/>
    <w:basedOn w:val="Heading2"/>
    <w:rsid w:val="00DA2C4F"/>
    <w:pPr>
      <w:keepNext w:val="0"/>
      <w:numPr>
        <w:ilvl w:val="1"/>
        <w:numId w:val="3"/>
      </w:numPr>
      <w:tabs>
        <w:tab w:val="clear" w:pos="1418"/>
        <w:tab w:val="num" w:pos="360"/>
      </w:tabs>
      <w:suppressAutoHyphens/>
      <w:spacing w:after="240"/>
      <w:ind w:left="0" w:firstLine="0"/>
    </w:pPr>
    <w:rPr>
      <w:rFonts w:cs="Times New Roman"/>
      <w:b w:val="0"/>
      <w:bCs w:val="0"/>
      <w:szCs w:val="20"/>
      <w:lang w:val="en-GB"/>
    </w:rPr>
  </w:style>
  <w:style w:type="paragraph" w:customStyle="1" w:styleId="List3">
    <w:name w:val="List3"/>
    <w:basedOn w:val="Heading3"/>
    <w:rsid w:val="00DA2C4F"/>
    <w:pPr>
      <w:keepNext w:val="0"/>
      <w:numPr>
        <w:ilvl w:val="2"/>
        <w:numId w:val="3"/>
      </w:numPr>
      <w:tabs>
        <w:tab w:val="clear" w:pos="2438"/>
        <w:tab w:val="num" w:pos="360"/>
      </w:tabs>
      <w:suppressAutoHyphens/>
      <w:spacing w:after="240"/>
      <w:ind w:left="0" w:firstLine="0"/>
      <w:jc w:val="both"/>
    </w:pPr>
    <w:rPr>
      <w:rFonts w:cs="Times New Roman"/>
      <w:b w:val="0"/>
      <w:bCs w:val="0"/>
      <w:sz w:val="24"/>
      <w:szCs w:val="20"/>
      <w:lang w:val="en-GB"/>
    </w:rPr>
  </w:style>
  <w:style w:type="paragraph" w:customStyle="1" w:styleId="List4">
    <w:name w:val="List4"/>
    <w:basedOn w:val="Heading4"/>
    <w:rsid w:val="00DA2C4F"/>
    <w:pPr>
      <w:keepNext w:val="0"/>
      <w:keepLines w:val="0"/>
      <w:numPr>
        <w:ilvl w:val="3"/>
        <w:numId w:val="3"/>
      </w:numPr>
      <w:tabs>
        <w:tab w:val="clear" w:pos="3686"/>
        <w:tab w:val="num" w:pos="360"/>
      </w:tabs>
      <w:suppressAutoHyphens/>
      <w:spacing w:before="0" w:after="240"/>
      <w:ind w:left="0" w:firstLine="0"/>
      <w:jc w:val="both"/>
    </w:pPr>
    <w:rPr>
      <w:rFonts w:ascii="Arial" w:eastAsia="Times New Roman" w:hAnsi="Arial" w:cs="Times New Roman"/>
      <w:b w:val="0"/>
      <w:bCs w:val="0"/>
      <w:i w:val="0"/>
      <w:iCs w:val="0"/>
      <w:color w:val="auto"/>
      <w:szCs w:val="20"/>
      <w:lang w:val="en-GB"/>
    </w:rPr>
  </w:style>
  <w:style w:type="character" w:customStyle="1" w:styleId="Heading4Char">
    <w:name w:val="Heading 4 Char"/>
    <w:basedOn w:val="DefaultParagraphFont"/>
    <w:link w:val="Heading4"/>
    <w:uiPriority w:val="9"/>
    <w:semiHidden/>
    <w:rsid w:val="00DA2C4F"/>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4F"/>
    <w:rPr>
      <w:rFonts w:ascii="Times New Roman" w:eastAsia="Times New Roman" w:hAnsi="Times New Roman" w:cs="Times New Roman"/>
      <w:lang w:val="en-US"/>
    </w:rPr>
  </w:style>
  <w:style w:type="paragraph" w:styleId="Heading1">
    <w:name w:val="heading 1"/>
    <w:basedOn w:val="Normal"/>
    <w:next w:val="Normal"/>
    <w:link w:val="Heading1Char"/>
    <w:qFormat/>
    <w:rsid w:val="00DA2C4F"/>
    <w:pPr>
      <w:keepNext/>
      <w:outlineLvl w:val="0"/>
    </w:pPr>
    <w:rPr>
      <w:b/>
      <w:bCs/>
    </w:rPr>
  </w:style>
  <w:style w:type="paragraph" w:styleId="Heading2">
    <w:name w:val="heading 2"/>
    <w:basedOn w:val="Normal"/>
    <w:next w:val="Normal"/>
    <w:link w:val="Heading2Char"/>
    <w:qFormat/>
    <w:rsid w:val="00DA2C4F"/>
    <w:pPr>
      <w:keepNext/>
      <w:jc w:val="both"/>
      <w:outlineLvl w:val="1"/>
    </w:pPr>
    <w:rPr>
      <w:rFonts w:ascii="Arial" w:hAnsi="Arial" w:cs="Arial"/>
      <w:b/>
      <w:bCs/>
    </w:rPr>
  </w:style>
  <w:style w:type="paragraph" w:styleId="Heading3">
    <w:name w:val="heading 3"/>
    <w:basedOn w:val="Normal"/>
    <w:next w:val="Normal"/>
    <w:link w:val="Heading3Char"/>
    <w:qFormat/>
    <w:rsid w:val="00DA2C4F"/>
    <w:pPr>
      <w:keepNext/>
      <w:outlineLvl w:val="2"/>
    </w:pPr>
    <w:rPr>
      <w:rFonts w:ascii="Arial" w:hAnsi="Arial" w:cs="Arial"/>
      <w:b/>
      <w:bCs/>
      <w:sz w:val="20"/>
    </w:rPr>
  </w:style>
  <w:style w:type="paragraph" w:styleId="Heading4">
    <w:name w:val="heading 4"/>
    <w:basedOn w:val="Normal"/>
    <w:next w:val="Normal"/>
    <w:link w:val="Heading4Char"/>
    <w:uiPriority w:val="9"/>
    <w:semiHidden/>
    <w:unhideWhenUsed/>
    <w:qFormat/>
    <w:rsid w:val="00DA2C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4F"/>
    <w:rPr>
      <w:rFonts w:ascii="Times New Roman" w:eastAsia="Times New Roman" w:hAnsi="Times New Roman" w:cs="Times New Roman"/>
      <w:b/>
      <w:bCs/>
      <w:lang w:val="en-US"/>
    </w:rPr>
  </w:style>
  <w:style w:type="character" w:customStyle="1" w:styleId="Heading2Char">
    <w:name w:val="Heading 2 Char"/>
    <w:basedOn w:val="DefaultParagraphFont"/>
    <w:link w:val="Heading2"/>
    <w:rsid w:val="00DA2C4F"/>
    <w:rPr>
      <w:rFonts w:ascii="Arial" w:eastAsia="Times New Roman" w:hAnsi="Arial" w:cs="Arial"/>
      <w:b/>
      <w:bCs/>
      <w:lang w:val="en-US"/>
    </w:rPr>
  </w:style>
  <w:style w:type="character" w:customStyle="1" w:styleId="Heading3Char">
    <w:name w:val="Heading 3 Char"/>
    <w:basedOn w:val="DefaultParagraphFont"/>
    <w:link w:val="Heading3"/>
    <w:rsid w:val="00DA2C4F"/>
    <w:rPr>
      <w:rFonts w:ascii="Arial" w:eastAsia="Times New Roman" w:hAnsi="Arial" w:cs="Arial"/>
      <w:b/>
      <w:bCs/>
      <w:sz w:val="20"/>
      <w:lang w:val="en-US"/>
    </w:rPr>
  </w:style>
  <w:style w:type="paragraph" w:styleId="BodyText">
    <w:name w:val="Body Text"/>
    <w:basedOn w:val="Normal"/>
    <w:link w:val="BodyTextChar"/>
    <w:rsid w:val="00DA2C4F"/>
    <w:pPr>
      <w:jc w:val="both"/>
    </w:pPr>
    <w:rPr>
      <w:rFonts w:ascii="Arial" w:hAnsi="Arial" w:cs="Arial"/>
    </w:rPr>
  </w:style>
  <w:style w:type="character" w:customStyle="1" w:styleId="BodyTextChar">
    <w:name w:val="Body Text Char"/>
    <w:basedOn w:val="DefaultParagraphFont"/>
    <w:link w:val="BodyText"/>
    <w:rsid w:val="00DA2C4F"/>
    <w:rPr>
      <w:rFonts w:ascii="Arial" w:eastAsia="Times New Roman" w:hAnsi="Arial" w:cs="Arial"/>
      <w:lang w:val="en-US"/>
    </w:rPr>
  </w:style>
  <w:style w:type="character" w:styleId="Hyperlink">
    <w:name w:val="Hyperlink"/>
    <w:rsid w:val="00DA2C4F"/>
    <w:rPr>
      <w:color w:val="0000FF"/>
      <w:u w:val="single"/>
    </w:rPr>
  </w:style>
  <w:style w:type="numbering" w:customStyle="1" w:styleId="Bullet">
    <w:name w:val="Bullet"/>
    <w:rsid w:val="00DA2C4F"/>
    <w:pPr>
      <w:numPr>
        <w:numId w:val="1"/>
      </w:numPr>
    </w:pPr>
  </w:style>
  <w:style w:type="paragraph" w:customStyle="1" w:styleId="List1">
    <w:name w:val="List1"/>
    <w:basedOn w:val="Heading1"/>
    <w:rsid w:val="00DA2C4F"/>
    <w:pPr>
      <w:keepNext w:val="0"/>
      <w:numPr>
        <w:numId w:val="3"/>
      </w:numPr>
      <w:tabs>
        <w:tab w:val="clear" w:pos="567"/>
        <w:tab w:val="num" w:pos="360"/>
      </w:tabs>
      <w:suppressAutoHyphens/>
      <w:spacing w:after="240"/>
      <w:ind w:left="0" w:firstLine="0"/>
      <w:jc w:val="both"/>
    </w:pPr>
    <w:rPr>
      <w:rFonts w:ascii="Arial" w:hAnsi="Arial"/>
      <w:b w:val="0"/>
      <w:bCs w:val="0"/>
      <w:szCs w:val="20"/>
      <w:lang w:val="en-GB"/>
    </w:rPr>
  </w:style>
  <w:style w:type="paragraph" w:customStyle="1" w:styleId="List2">
    <w:name w:val="List2"/>
    <w:basedOn w:val="Heading2"/>
    <w:rsid w:val="00DA2C4F"/>
    <w:pPr>
      <w:keepNext w:val="0"/>
      <w:numPr>
        <w:ilvl w:val="1"/>
        <w:numId w:val="3"/>
      </w:numPr>
      <w:tabs>
        <w:tab w:val="clear" w:pos="1418"/>
        <w:tab w:val="num" w:pos="360"/>
      </w:tabs>
      <w:suppressAutoHyphens/>
      <w:spacing w:after="240"/>
      <w:ind w:left="0" w:firstLine="0"/>
    </w:pPr>
    <w:rPr>
      <w:rFonts w:cs="Times New Roman"/>
      <w:b w:val="0"/>
      <w:bCs w:val="0"/>
      <w:szCs w:val="20"/>
      <w:lang w:val="en-GB"/>
    </w:rPr>
  </w:style>
  <w:style w:type="paragraph" w:customStyle="1" w:styleId="List3">
    <w:name w:val="List3"/>
    <w:basedOn w:val="Heading3"/>
    <w:rsid w:val="00DA2C4F"/>
    <w:pPr>
      <w:keepNext w:val="0"/>
      <w:numPr>
        <w:ilvl w:val="2"/>
        <w:numId w:val="3"/>
      </w:numPr>
      <w:tabs>
        <w:tab w:val="clear" w:pos="2438"/>
        <w:tab w:val="num" w:pos="360"/>
      </w:tabs>
      <w:suppressAutoHyphens/>
      <w:spacing w:after="240"/>
      <w:ind w:left="0" w:firstLine="0"/>
      <w:jc w:val="both"/>
    </w:pPr>
    <w:rPr>
      <w:rFonts w:cs="Times New Roman"/>
      <w:b w:val="0"/>
      <w:bCs w:val="0"/>
      <w:sz w:val="24"/>
      <w:szCs w:val="20"/>
      <w:lang w:val="en-GB"/>
    </w:rPr>
  </w:style>
  <w:style w:type="paragraph" w:customStyle="1" w:styleId="List4">
    <w:name w:val="List4"/>
    <w:basedOn w:val="Heading4"/>
    <w:rsid w:val="00DA2C4F"/>
    <w:pPr>
      <w:keepNext w:val="0"/>
      <w:keepLines w:val="0"/>
      <w:numPr>
        <w:ilvl w:val="3"/>
        <w:numId w:val="3"/>
      </w:numPr>
      <w:tabs>
        <w:tab w:val="clear" w:pos="3686"/>
        <w:tab w:val="num" w:pos="360"/>
      </w:tabs>
      <w:suppressAutoHyphens/>
      <w:spacing w:before="0" w:after="240"/>
      <w:ind w:left="0" w:firstLine="0"/>
      <w:jc w:val="both"/>
    </w:pPr>
    <w:rPr>
      <w:rFonts w:ascii="Arial" w:eastAsia="Times New Roman" w:hAnsi="Arial" w:cs="Times New Roman"/>
      <w:b w:val="0"/>
      <w:bCs w:val="0"/>
      <w:i w:val="0"/>
      <w:iCs w:val="0"/>
      <w:color w:val="auto"/>
      <w:szCs w:val="20"/>
      <w:lang w:val="en-GB"/>
    </w:rPr>
  </w:style>
  <w:style w:type="character" w:customStyle="1" w:styleId="Heading4Char">
    <w:name w:val="Heading 4 Char"/>
    <w:basedOn w:val="DefaultParagraphFont"/>
    <w:link w:val="Heading4"/>
    <w:uiPriority w:val="9"/>
    <w:semiHidden/>
    <w:rsid w:val="00DA2C4F"/>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bour.gov.z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2370</Words>
  <Characters>13514</Characters>
  <Application>Microsoft Macintosh Word</Application>
  <DocSecurity>0</DocSecurity>
  <Lines>112</Lines>
  <Paragraphs>31</Paragraphs>
  <ScaleCrop>false</ScaleCrop>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dc:creator>
  <cp:keywords/>
  <dc:description/>
  <cp:lastModifiedBy>sjc</cp:lastModifiedBy>
  <cp:revision>1</cp:revision>
  <cp:lastPrinted>2017-02-09T14:41:00Z</cp:lastPrinted>
  <dcterms:created xsi:type="dcterms:W3CDTF">2017-02-09T14:39:00Z</dcterms:created>
  <dcterms:modified xsi:type="dcterms:W3CDTF">2017-02-09T14:43:00Z</dcterms:modified>
</cp:coreProperties>
</file>